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early to middle nineteenth century, campuses and seminaries were hotbeds of debate on the righteousness of slavery. It was a common topic of discussion among student societies and between professors, but by 1830, Southern students and scholars began to take an increasingly defensive position on slavery. Intellectuals devoted significant time and effort to formulating new and extensive justifications for slave-ownership, often on the basis of another dominant theme in Southern culture: theology. As these arguments developed, the lines between academia, religion, and economics became increasingly unclear. Scripture was used in academic arguments to support the use of unfree labor. Professors at secular colleges were educated in religion and funded by planters. Complex backgrounds and motivations led academic and religious leaders to support slavery. Southern intellectual culture represented the nexus of three different lines of thought: economics, theology, and philosophy. This paper will argue that the economic connections between academia, religious institutions, and slave-owners show that Southern intellectual thought was ultimately a function of slavery.</w:t>
      </w:r>
    </w:p>
    <w:p w:rsidR="00000000" w:rsidDel="00000000" w:rsidP="00000000" w:rsidRDefault="00000000" w:rsidRPr="00000000" w14:paraId="0000000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Religion in the antebellum south was diverse and included a number of different beliefs, many of which were directly involved in these interactions. Michael O’Brien writes that at least fifteen different varieties of Protestantism, three groups of Catholicism, three groups of Judaism, many Native American beliefs, many African beliefs, and Islam all had established traditions in the south.</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The exact composition of religious groups differed from one area to another, but most areas had Protestant majorities with smaller groups of Catholics and Jews. </w:t>
      </w:r>
    </w:p>
    <w:p w:rsidR="00000000" w:rsidDel="00000000" w:rsidP="00000000" w:rsidRDefault="00000000" w:rsidRPr="00000000" w14:paraId="0000000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early nineteenth century, it was not uncommon for Southern planters’ families to send their children to northern schools such as Yale, Harvard, or Princeton.</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However, as antebellum society became more polarized and the debate over slavery intensified, southerners became reticent to send their sons to schools where abolitionism thought was dominant. The southern elite feared that their children would return to the South radicalized and undermine slavery from within. Georgians responded to this by founding several colleges such as Mercer, Oglethorpe, and Emory. By the beginning of the Civil War, only fifteen Georgians per year were attending Yale, Harvard, and Princeton.</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significant number of colleges in the United States were originally founded by religious institutions. Georgetown (Catholic), Mercer (Baptist), Emory (Methodist), and Oglethorpe (Presbyterian) were included among their ranks. The origins of proslavery sentiments among the intellectual elite can be traced to these foundations. W.B. Hesseltine writes that because English law did not permit slavery, American colonists justified their exploitation of slave labor using Christian and Biblical language.</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According to this argument, the Bible explicitly allowed the ownership of slaves as property. Abolition would therefore represent an infringement of one’s God-given right to administer their property as they saw fit. Peter Kolchin agrees that planters believed slavery to be a blessing for black people and that they would be happier than if they were free.</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Craig Steven Wilder writes that the Catholic Church embraced these arguments and documents how central slavery was to the establishment of Georgetown University.</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Georgetown was funded and built on the backs of black slaves. Even after the abolition of slavery in Maryland in 1832, it continued to profit off of slave labor. A significant number of students paid for tuition using family funds derived from slavery. This was also true for the Southern universities founded during the 1830s. Thomas English writes that following the Civil War, the school’s endowment had vanished.</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Abolition meant that Emory students could no longer rely on slavery to pay their tuition. Georgia’s G.I. Bill was responsible for keeping the university open. Students across the South found themselves in similar situations, testifying to how connected these colleges were to the institution of slavery.</w:t>
      </w:r>
    </w:p>
    <w:p w:rsidR="00000000" w:rsidDel="00000000" w:rsidP="00000000" w:rsidRDefault="00000000" w:rsidRPr="00000000" w14:paraId="0000000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Jewish merchants had been involved in the slave trade since the Middle Ages. Upon arriving in America, Jewish immigrants found that they could carve out a niche in Colonial America by continuing to engage in the ancient business. Max Kohler writes that the earliest mention of Jews and slaves dates from a letter in 1653 that recommended slave traders sell preferentially to Christians.</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Within a decade, this decision had been reversed and Jews began to purchase slaves for labor rather than for resale. Like most other religious groups, Jewish Americans largely did not speak out against slavery. Jewish northerners held slaves until it was illegal to do so, and those in the south continued to exploit slave labor until after the Civil War.</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Jews were initially restricted from sending their children to the newly opened colleges. Like other religious groups, Jews found that the doors to education could be opened by slave labor. Craig Steven Wilder notes that donations from wealthy Jewish slave traders and planters to early American colleges were instrumental in gaining access to those institutions.</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By 1830, over eighty percent of Jewish households in the south held slaves.</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Jewish intellectuals, especially those from the south such as Mordecai M. Noah, began speaking more favorably with regards to slavery and drifted further towards the proslavery faction of the country.</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Southern Jewish politicians like Judah P. Benjamin (who went on to serve in the Confederate government), and even some from the north like Henry M. Phillips, became more vocal in their defenses of slavery.</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Jewish students already found themselves excluded from some parts of southern society by their religion. Advocating for abolition would have excluded them intellectually as well.</w:t>
      </w:r>
    </w:p>
    <w:p w:rsidR="00000000" w:rsidDel="00000000" w:rsidP="00000000" w:rsidRDefault="00000000" w:rsidRPr="00000000" w14:paraId="0000000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Professors often used Biblical arguments to support proslavery positions. </w:t>
      </w:r>
      <w:r w:rsidDel="00000000" w:rsidR="00000000" w:rsidRPr="00000000">
        <w:rPr>
          <w:rFonts w:ascii="Times New Roman" w:cs="Times New Roman" w:eastAsia="Times New Roman" w:hAnsi="Times New Roman"/>
          <w:sz w:val="24"/>
          <w:szCs w:val="24"/>
          <w:rtl w:val="0"/>
        </w:rPr>
        <w:t xml:space="preserve">Drew Gulpin Faust writes that the most fervent defenders of slavery in the south were often not the wealthy planters or slave traders, but the intellegentsia.</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This included figures such as Thomas R. Dew, Maximillian Schele de Vere, and several other prominent professors. Dew was especially well-known for his ardent philosophical defense of slavery. One of the pillars of his argument was that slavery was present in every human civilization and must therefore be a natural state, as evidenced by the Bible.</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Despite the violence the slave trade created in Africa, it ultimately led to the Christianization of many Africans who Dew claimed would have been killed if they did not have economic value as slaves. Dew also believed that slavery’s continued existence in America indicated that it was part of a divine plan, and that it was a powerful vehicle for progress.</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Finally, Dew argued against the abolitionist position that slavery was antithetical to Christianity, pointing out that the Bible never proclaims that a master must free his slaves.</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sz w:val="24"/>
          <w:szCs w:val="24"/>
          <w:rtl w:val="0"/>
        </w:rPr>
        <w:t xml:space="preserve"> Schele de Vere used the Bible in what Stefan Schoberlein calls a “proto-Marxian” argument against northern capitalism, arguing that an ideal society would be governed like the Tribes of Israel governed themselves.</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Fonts w:ascii="Times New Roman" w:cs="Times New Roman" w:eastAsia="Times New Roman" w:hAnsi="Times New Roman"/>
          <w:sz w:val="24"/>
          <w:szCs w:val="24"/>
          <w:rtl w:val="0"/>
        </w:rPr>
        <w:t xml:space="preserve"> Embracing proslavery rhetoric allowed colleges to establish their legitimacy in Southern culture and attract funding from slave-owners. </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Religious leaders used similar strategies to justify slavery. Catholic priests in the south justified their continued reliance on slave profits by arguing that alleged biological differences between whites and blacks proved that God intended whites to civilize blacks through the institution of slavery.</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Fonts w:ascii="Times New Roman" w:cs="Times New Roman" w:eastAsia="Times New Roman" w:hAnsi="Times New Roman"/>
          <w:sz w:val="24"/>
          <w:szCs w:val="24"/>
          <w:rtl w:val="0"/>
        </w:rPr>
        <w:t xml:space="preserve"> O’Brien writes that Jews used the presence of slavery in Ancient Israel to establish a spiritual connection to America.</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Fonts w:ascii="Times New Roman" w:cs="Times New Roman" w:eastAsia="Times New Roman" w:hAnsi="Times New Roman"/>
          <w:sz w:val="24"/>
          <w:szCs w:val="24"/>
          <w:rtl w:val="0"/>
        </w:rPr>
        <w:t xml:space="preserve"> Protestant intellectuals like James Warley Miles  argued that Africans had been delivered into slavery by Providence.</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Fonts w:ascii="Times New Roman" w:cs="Times New Roman" w:eastAsia="Times New Roman" w:hAnsi="Times New Roman"/>
          <w:sz w:val="24"/>
          <w:szCs w:val="24"/>
          <w:rtl w:val="0"/>
        </w:rPr>
        <w:t xml:space="preserve"> Religious proslavery arguments not only helped sanction slavery through the Bible, they also helped legitimize evangelism in the South.</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overlaps and similarities between academics’ and clerics’ defenses of slavery are stiking, but not surprising. O’Brien highlights the connection between religion and academia, writing that “theology was a Southern preoccupation, even an export trade.”</w:t>
      </w:r>
      <w:r w:rsidDel="00000000" w:rsidR="00000000" w:rsidRPr="00000000">
        <w:rPr>
          <w:rFonts w:ascii="Times New Roman" w:cs="Times New Roman" w:eastAsia="Times New Roman" w:hAnsi="Times New Roman"/>
          <w:sz w:val="24"/>
          <w:szCs w:val="24"/>
          <w:vertAlign w:val="superscript"/>
        </w:rPr>
        <w:footnoteReference w:customMarkFollows="0" w:id="22"/>
      </w:r>
      <w:r w:rsidDel="00000000" w:rsidR="00000000" w:rsidRPr="00000000">
        <w:rPr>
          <w:rFonts w:ascii="Times New Roman" w:cs="Times New Roman" w:eastAsia="Times New Roman" w:hAnsi="Times New Roman"/>
          <w:sz w:val="24"/>
          <w:szCs w:val="24"/>
          <w:rtl w:val="0"/>
        </w:rPr>
        <w:t xml:space="preserve"> Because theology was an integral part of Southern intellectual culture, it was not uncommon for college professors and administrators to also hold positions in churches, seminaries, or other “church schools.” This crossover allowed the impulse to control antislavery speech to move into state colleges as well. Professors who taught at a public college could still be punished in their roles at other institutions. </w:t>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control that the proslavery lobby had on religious and academic intellectuals was also facilitated by the immense structural power of the planters in Southern society. Colleges and seminaries in the South were mostly controlled by the same group of wealthy slave-owners, regardless of whether they were state or privately run. Russell B. Nye states bluntly that by the 1840s, Southern colleges were “directly or indirectly controlled by the cotton and slave interests, either as benefactors or as masters of the states in which the institutions </w:t>
      </w:r>
      <w:r w:rsidDel="00000000" w:rsidR="00000000" w:rsidRPr="00000000">
        <w:rPr>
          <w:rFonts w:ascii="Times New Roman" w:cs="Times New Roman" w:eastAsia="Times New Roman" w:hAnsi="Times New Roman"/>
          <w:sz w:val="24"/>
          <w:szCs w:val="24"/>
          <w:rtl w:val="0"/>
        </w:rPr>
        <w:t xml:space="preserve">operated</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23"/>
      </w:r>
      <w:r w:rsidDel="00000000" w:rsidR="00000000" w:rsidRPr="00000000">
        <w:rPr>
          <w:rFonts w:ascii="Times New Roman" w:cs="Times New Roman" w:eastAsia="Times New Roman" w:hAnsi="Times New Roman"/>
          <w:sz w:val="24"/>
          <w:szCs w:val="24"/>
          <w:rtl w:val="0"/>
        </w:rPr>
        <w:t xml:space="preserve"> Slave-owners were able to stifle criticism by mandating curriculums and influencing the intellectual zeitgeist to shy away from discussing slavery unless it was presented from their point of view. In their positions as trustees, they were able to depose or cut the salaries of professors and administrators who challenged their views.</w:t>
      </w:r>
      <w:r w:rsidDel="00000000" w:rsidR="00000000" w:rsidRPr="00000000">
        <w:rPr>
          <w:rFonts w:ascii="Times New Roman" w:cs="Times New Roman" w:eastAsia="Times New Roman" w:hAnsi="Times New Roman"/>
          <w:sz w:val="24"/>
          <w:szCs w:val="24"/>
          <w:vertAlign w:val="superscript"/>
        </w:rPr>
        <w:footnoteReference w:customMarkFollows="0" w:id="24"/>
      </w:r>
      <w:r w:rsidDel="00000000" w:rsidR="00000000" w:rsidRPr="00000000">
        <w:rPr>
          <w:rFonts w:ascii="Times New Roman" w:cs="Times New Roman" w:eastAsia="Times New Roman" w:hAnsi="Times New Roman"/>
          <w:sz w:val="24"/>
          <w:szCs w:val="24"/>
          <w:rtl w:val="0"/>
        </w:rPr>
        <w:t xml:space="preserve"> Professors and prospective students could be rejected from schools on the basis of their attitude toward slavery.</w:t>
      </w:r>
      <w:r w:rsidDel="00000000" w:rsidR="00000000" w:rsidRPr="00000000">
        <w:rPr>
          <w:rFonts w:ascii="Times New Roman" w:cs="Times New Roman" w:eastAsia="Times New Roman" w:hAnsi="Times New Roman"/>
          <w:sz w:val="24"/>
          <w:szCs w:val="24"/>
          <w:vertAlign w:val="superscript"/>
        </w:rPr>
        <w:footnoteReference w:customMarkFollows="0" w:id="25"/>
      </w:r>
      <w:r w:rsidDel="00000000" w:rsidR="00000000" w:rsidRPr="00000000">
        <w:rPr>
          <w:rtl w:val="0"/>
        </w:rPr>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Violence and intimidation were also common tactics used to control the narrative around slavery. Discussing slavery had always been somewhat taboo in the South, but by 1850 it provoked outright hostility rather than mere awkwardness. Charles H. Rammelkamp writes that in the time period before the Civil War, “angry debates” became more common among both students and teachers, further feeding into the culture of silence that surrounded slavery.</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Legislatures could also threaten colleges that did not sufficiently stifle abolitionist rhetoric with false or misleading charges, ruining their reputations and finances.</w:t>
      </w:r>
      <w:r w:rsidDel="00000000" w:rsidR="00000000" w:rsidRPr="00000000">
        <w:rPr>
          <w:rFonts w:ascii="Times New Roman" w:cs="Times New Roman" w:eastAsia="Times New Roman" w:hAnsi="Times New Roman"/>
          <w:sz w:val="24"/>
          <w:szCs w:val="24"/>
          <w:vertAlign w:val="superscript"/>
        </w:rPr>
        <w:footnoteReference w:customMarkFollows="0" w:id="27"/>
      </w:r>
      <w:r w:rsidDel="00000000" w:rsidR="00000000" w:rsidRPr="00000000">
        <w:rPr>
          <w:rFonts w:ascii="Times New Roman" w:cs="Times New Roman" w:eastAsia="Times New Roman" w:hAnsi="Times New Roman"/>
          <w:sz w:val="24"/>
          <w:szCs w:val="24"/>
          <w:rtl w:val="0"/>
        </w:rPr>
        <w:t xml:space="preserve"> Attacks on freedom of the press were a fact of antebellum life in the south and discouraged intellectuals from writing favorably about abolitionism or negatively towards slavery. Clement Eaton argues that slave-owners were especially hostile to antislavery press and speech, correctly fearing that emancipation would destroy their livelihoods.</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Fonts w:ascii="Times New Roman" w:cs="Times New Roman" w:eastAsia="Times New Roman" w:hAnsi="Times New Roman"/>
          <w:sz w:val="24"/>
          <w:szCs w:val="24"/>
          <w:rtl w:val="0"/>
        </w:rPr>
        <w:t xml:space="preserve"> Planter-dominated legislatures passed (rarely enforced) laws that restricted speech, and Southern mobs threatened physical violence. Prominent figures faced violent attempts to silence them. Cassius Clay was threatened by mobs often enough that he had to put a loaded cannon on his lawn to deter would-be attackers.</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Catholic Church took less confrontational approaches to silencing criticism of slavery on campus. Rather than directly intervene to stop discussions or divest from slavery altogether, Catholics simply followed the expansion of slavery westward.</w:t>
      </w:r>
      <w:r w:rsidDel="00000000" w:rsidR="00000000" w:rsidRPr="00000000">
        <w:rPr>
          <w:rFonts w:ascii="Times New Roman" w:cs="Times New Roman" w:eastAsia="Times New Roman" w:hAnsi="Times New Roman"/>
          <w:sz w:val="24"/>
          <w:szCs w:val="24"/>
          <w:vertAlign w:val="superscript"/>
        </w:rPr>
        <w:footnoteReference w:customMarkFollows="0" w:id="30"/>
      </w:r>
      <w:r w:rsidDel="00000000" w:rsidR="00000000" w:rsidRPr="00000000">
        <w:rPr>
          <w:rFonts w:ascii="Times New Roman" w:cs="Times New Roman" w:eastAsia="Times New Roman" w:hAnsi="Times New Roman"/>
          <w:sz w:val="24"/>
          <w:szCs w:val="24"/>
          <w:rtl w:val="0"/>
        </w:rPr>
        <w:t xml:space="preserve">By this point, Catholic priests had been in the American south for several decades. They had become accustomed to their lives in the south and began to see themselves not only as representatives for the Church, but as the “pastoral protectors of a southern way of life based on slavery.”</w:t>
      </w:r>
      <w:r w:rsidDel="00000000" w:rsidR="00000000" w:rsidRPr="00000000">
        <w:rPr>
          <w:rFonts w:ascii="Times New Roman" w:cs="Times New Roman" w:eastAsia="Times New Roman" w:hAnsi="Times New Roman"/>
          <w:sz w:val="24"/>
          <w:szCs w:val="24"/>
          <w:vertAlign w:val="superscript"/>
        </w:rPr>
        <w:footnoteReference w:customMarkFollows="0" w:id="31"/>
      </w:r>
      <w:r w:rsidDel="00000000" w:rsidR="00000000" w:rsidRPr="00000000">
        <w:rPr>
          <w:rFonts w:ascii="Times New Roman" w:cs="Times New Roman" w:eastAsia="Times New Roman" w:hAnsi="Times New Roman"/>
          <w:sz w:val="24"/>
          <w:szCs w:val="24"/>
          <w:rtl w:val="0"/>
        </w:rPr>
        <w:t xml:space="preserve"> Paul Giles also notes that this position was partly a result of the Catholic Church’s “historical involvement with feudal and other forms of social hierarchy, [and] partly because their religious traditions of gradations and legalism did not sit comfortably either with millennial notions of liberation or with Quaker reliance on a self-defining source of ‘Inner Light.’”</w:t>
      </w:r>
      <w:r w:rsidDel="00000000" w:rsidR="00000000" w:rsidRPr="00000000">
        <w:rPr>
          <w:rFonts w:ascii="Times New Roman" w:cs="Times New Roman" w:eastAsia="Times New Roman" w:hAnsi="Times New Roman"/>
          <w:sz w:val="24"/>
          <w:szCs w:val="24"/>
          <w:vertAlign w:val="superscript"/>
        </w:rPr>
        <w:footnoteReference w:customMarkFollows="0" w:id="32"/>
      </w:r>
      <w:r w:rsidDel="00000000" w:rsidR="00000000" w:rsidRPr="00000000">
        <w:rPr>
          <w:rFonts w:ascii="Times New Roman" w:cs="Times New Roman" w:eastAsia="Times New Roman" w:hAnsi="Times New Roman"/>
          <w:sz w:val="24"/>
          <w:szCs w:val="24"/>
          <w:rtl w:val="0"/>
        </w:rPr>
        <w:t xml:space="preserve"> The Church was mindful of the need to maintain a balance between fitting in and staying true to their faith. By relocating their slaves west and putting laymen in charge of discipline, the priests were able to put a wall in between themselves and the cruelty of the institution.</w:t>
      </w:r>
      <w:r w:rsidDel="00000000" w:rsidR="00000000" w:rsidRPr="00000000">
        <w:rPr>
          <w:rFonts w:ascii="Times New Roman" w:cs="Times New Roman" w:eastAsia="Times New Roman" w:hAnsi="Times New Roman"/>
          <w:sz w:val="24"/>
          <w:szCs w:val="24"/>
          <w:vertAlign w:val="superscript"/>
        </w:rPr>
        <w:footnoteReference w:customMarkFollows="0" w:id="33"/>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similar separation was common in other institutions as well. Colleges and seminaries were content to use slave labor to build their campuses. For a short time, most schools tolerated the presence of “servants” though they were formally prohibited from being on the grounds.</w:t>
      </w:r>
      <w:r w:rsidDel="00000000" w:rsidR="00000000" w:rsidRPr="00000000">
        <w:rPr>
          <w:rFonts w:ascii="Times New Roman" w:cs="Times New Roman" w:eastAsia="Times New Roman" w:hAnsi="Times New Roman"/>
          <w:sz w:val="24"/>
          <w:szCs w:val="24"/>
          <w:vertAlign w:val="superscript"/>
        </w:rPr>
        <w:footnoteReference w:customMarkFollows="0" w:id="34"/>
      </w:r>
      <w:r w:rsidDel="00000000" w:rsidR="00000000" w:rsidRPr="00000000">
        <w:rPr>
          <w:rFonts w:ascii="Times New Roman" w:cs="Times New Roman" w:eastAsia="Times New Roman" w:hAnsi="Times New Roman"/>
          <w:sz w:val="24"/>
          <w:szCs w:val="24"/>
          <w:rtl w:val="0"/>
        </w:rPr>
        <w:t xml:space="preserve"> Most college towns also had laws restricting slaves’ right of movement, but they were similarly rarely enforced. However, after several incidences of racial violence involving students attacking slaves, most colleges and towns began to enforce the law more strictly and banned slaves from campus altogether.</w:t>
      </w:r>
      <w:r w:rsidDel="00000000" w:rsidR="00000000" w:rsidRPr="00000000">
        <w:rPr>
          <w:rFonts w:ascii="Times New Roman" w:cs="Times New Roman" w:eastAsia="Times New Roman" w:hAnsi="Times New Roman"/>
          <w:sz w:val="24"/>
          <w:szCs w:val="24"/>
          <w:vertAlign w:val="superscript"/>
        </w:rPr>
        <w:footnoteReference w:customMarkFollows="0" w:id="35"/>
      </w:r>
      <w:r w:rsidDel="00000000" w:rsidR="00000000" w:rsidRPr="00000000">
        <w:rPr>
          <w:rFonts w:ascii="Times New Roman" w:cs="Times New Roman" w:eastAsia="Times New Roman" w:hAnsi="Times New Roman"/>
          <w:sz w:val="24"/>
          <w:szCs w:val="24"/>
          <w:rtl w:val="0"/>
        </w:rPr>
        <w:t xml:space="preserve"> The official reason was that having slaves made students lazy and indolent, but the cruelty and abuse of slaves would have reminded college and religious officials of the brutality of the system they were so committed to defending.</w:t>
      </w:r>
    </w:p>
    <w:p w:rsidR="00000000" w:rsidDel="00000000" w:rsidP="00000000" w:rsidRDefault="00000000" w:rsidRPr="00000000" w14:paraId="0000000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Southern intellectual culture was defined by the interactions between the three systems of education, religion, and slavery. Theology formed a bond between academic and religious intellectuals, and the two groups overlapped significantly. Both groups relied on funding from the slave economy.  Many colleges in the South were established by religious orders who made their fortunes off of tithes or donations from slave-owners. The economic power of the planter-class kept schools open through tuition fees and taxes. Churches and seminaries relied on tithes paid by and donations from slave-owners to expand across the South. The connections are extensive and show that slavery was the basis of Southern intellectual thought.</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O'Brien, Michael.</w:t>
      </w:r>
      <w:r w:rsidDel="00000000" w:rsidR="00000000" w:rsidRPr="00000000">
        <w:rPr>
          <w:rFonts w:ascii="Times New Roman" w:cs="Times New Roman" w:eastAsia="Times New Roman" w:hAnsi="Times New Roman"/>
          <w:i w:val="1"/>
          <w:sz w:val="20"/>
          <w:szCs w:val="20"/>
          <w:rtl w:val="0"/>
        </w:rPr>
        <w:t xml:space="preserve"> Intellectual Life and the American South, 1810-1860: An Abridged Edition of Conjectures of Order</w:t>
      </w:r>
      <w:r w:rsidDel="00000000" w:rsidR="00000000" w:rsidRPr="00000000">
        <w:rPr>
          <w:rFonts w:ascii="Times New Roman" w:cs="Times New Roman" w:eastAsia="Times New Roman" w:hAnsi="Times New Roman"/>
          <w:sz w:val="20"/>
          <w:szCs w:val="20"/>
          <w:rtl w:val="0"/>
        </w:rPr>
        <w:t xml:space="preserve">. Chapel Hill, NC: University of North Carolina Press, 2010.</w:t>
      </w:r>
    </w:p>
  </w:footnote>
  <w:footnote w:id="7">
    <w:p w:rsidR="00000000" w:rsidDel="00000000" w:rsidP="00000000" w:rsidRDefault="00000000" w:rsidRPr="00000000" w14:paraId="0000001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Kohler, Max. J. "THE JEWS AND THE AMERICAN ANTI-SLAVERY MOVEMENT." Publications of the American Jewish Historical Society, no. 5 (1897): 137-55. www.jstor.org/stable/43058622.</w:t>
      </w:r>
    </w:p>
  </w:footnote>
  <w:footnote w:id="8">
    <w:p w:rsidR="00000000" w:rsidDel="00000000" w:rsidP="00000000" w:rsidRDefault="00000000" w:rsidRPr="00000000" w14:paraId="0000001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9">
    <w:p w:rsidR="00000000" w:rsidDel="00000000" w:rsidP="00000000" w:rsidRDefault="00000000" w:rsidRPr="00000000" w14:paraId="0000001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 Beckert, Sven, Seth Rockman, and Craig Steven Wilder. “War and Priests: Catholic Colleges and Slavery in the Age of Revolution.” In </w:t>
      </w:r>
      <w:r w:rsidDel="00000000" w:rsidR="00000000" w:rsidRPr="00000000">
        <w:rPr>
          <w:rFonts w:ascii="Times New Roman" w:cs="Times New Roman" w:eastAsia="Times New Roman" w:hAnsi="Times New Roman"/>
          <w:i w:val="1"/>
          <w:sz w:val="20"/>
          <w:szCs w:val="20"/>
          <w:rtl w:val="0"/>
        </w:rPr>
        <w:t xml:space="preserve">Slavery's Capitalism: A New History of American Economic Development</w:t>
      </w:r>
      <w:r w:rsidDel="00000000" w:rsidR="00000000" w:rsidRPr="00000000">
        <w:rPr>
          <w:rFonts w:ascii="Times New Roman" w:cs="Times New Roman" w:eastAsia="Times New Roman" w:hAnsi="Times New Roman"/>
          <w:sz w:val="20"/>
          <w:szCs w:val="20"/>
          <w:rtl w:val="0"/>
        </w:rPr>
        <w:t xml:space="preserve">, 232. Philadelphia: University of Pennsylvania Press, (2016).</w:t>
      </w:r>
      <w:r w:rsidDel="00000000" w:rsidR="00000000" w:rsidRPr="00000000">
        <w:rPr>
          <w:rtl w:val="0"/>
        </w:rPr>
      </w:r>
    </w:p>
  </w:footnote>
  <w:footnote w:id="11">
    <w:p w:rsidR="00000000" w:rsidDel="00000000" w:rsidP="00000000" w:rsidRDefault="00000000" w:rsidRPr="00000000" w14:paraId="0000001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Kohler. “Jews in Anti-Slavery.” 144</w:t>
      </w:r>
    </w:p>
  </w:footnote>
  <w:footnote w:id="12">
    <w:p w:rsidR="00000000" w:rsidDel="00000000" w:rsidP="00000000" w:rsidRDefault="00000000" w:rsidRPr="00000000" w14:paraId="0000001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0">
    <w:p w:rsidR="00000000" w:rsidDel="00000000" w:rsidP="00000000" w:rsidRDefault="00000000" w:rsidRPr="00000000" w14:paraId="0000001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O’Brien, </w:t>
      </w:r>
      <w:r w:rsidDel="00000000" w:rsidR="00000000" w:rsidRPr="00000000">
        <w:rPr>
          <w:rFonts w:ascii="Times New Roman" w:cs="Times New Roman" w:eastAsia="Times New Roman" w:hAnsi="Times New Roman"/>
          <w:i w:val="1"/>
          <w:sz w:val="20"/>
          <w:szCs w:val="20"/>
          <w:rtl w:val="0"/>
        </w:rPr>
        <w:t xml:space="preserve">Orders</w:t>
      </w:r>
      <w:r w:rsidDel="00000000" w:rsidR="00000000" w:rsidRPr="00000000">
        <w:rPr>
          <w:rFonts w:ascii="Times New Roman" w:cs="Times New Roman" w:eastAsia="Times New Roman" w:hAnsi="Times New Roman"/>
          <w:sz w:val="20"/>
          <w:szCs w:val="20"/>
          <w:rtl w:val="0"/>
        </w:rPr>
        <w:t xml:space="preserve">. 281</w:t>
      </w:r>
    </w:p>
  </w:footnote>
  <w:footnote w:id="3">
    <w:p w:rsidR="00000000" w:rsidDel="00000000" w:rsidP="00000000" w:rsidRDefault="00000000" w:rsidRPr="00000000" w14:paraId="0000001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Hesseltine, W. B. "Some New Aspects of the Pro-Slavery Argument." The Journal of Negro History 21, no. 1 (1936): 1-14. doi:10.2307/2714540.</w:t>
      </w:r>
    </w:p>
  </w:footnote>
  <w:footnote w:id="4">
    <w:p w:rsidR="00000000" w:rsidDel="00000000" w:rsidP="00000000" w:rsidRDefault="00000000" w:rsidRPr="00000000" w14:paraId="0000001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Peter Kolchin. "In Defense of Servitude: American Proslavery and Russian Proserfdom Arguments, 1760-1860." The American Historical Review 85, no. 4 (1980): 809-27. doi:10.2307/1868873.</w:t>
      </w:r>
    </w:p>
  </w:footnote>
  <w:footnote w:id="5">
    <w:p w:rsidR="00000000" w:rsidDel="00000000" w:rsidP="00000000" w:rsidRDefault="00000000" w:rsidRPr="00000000" w14:paraId="0000001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Wilder. “War and Priests.” 241</w:t>
      </w:r>
    </w:p>
  </w:footnote>
  <w:footnote w:id="6">
    <w:p w:rsidR="00000000" w:rsidDel="00000000" w:rsidP="00000000" w:rsidRDefault="00000000" w:rsidRPr="00000000" w14:paraId="0000001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English, Thomas H. Emory University 1915–1965: A Semicentennial History (Atlanta: Emory University, 1966).</w:t>
      </w:r>
    </w:p>
  </w:footnote>
  <w:footnote w:id="1">
    <w:p w:rsidR="00000000" w:rsidDel="00000000" w:rsidP="00000000" w:rsidRDefault="00000000" w:rsidRPr="00000000" w14:paraId="0000001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Wright, Richard N. "Ambivalent Bastions of Slavery: The "Peculiar Institution" on College Campuses in Antebellum Georgia." The Georgia Historical Quarterly 80, no. 3 (1996): 467-85. www.jstor.org/stable/40583487.</w:t>
      </w:r>
    </w:p>
  </w:footnote>
  <w:footnote w:id="2">
    <w:p w:rsidR="00000000" w:rsidDel="00000000" w:rsidP="00000000" w:rsidRDefault="00000000" w:rsidRPr="00000000" w14:paraId="0000001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0">
    <w:p w:rsidR="00000000" w:rsidDel="00000000" w:rsidP="00000000" w:rsidRDefault="00000000" w:rsidRPr="00000000" w14:paraId="0000001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Wilder, “War and Priests.” 241</w:t>
      </w:r>
    </w:p>
  </w:footnote>
  <w:footnote w:id="31">
    <w:p w:rsidR="00000000" w:rsidDel="00000000" w:rsidP="00000000" w:rsidRDefault="00000000" w:rsidRPr="00000000" w14:paraId="0000002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2">
    <w:p w:rsidR="00000000" w:rsidDel="00000000" w:rsidP="00000000" w:rsidRDefault="00000000" w:rsidRPr="00000000" w14:paraId="0000002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Giles, Paul. "Catholic Ideology and American Slave Narratives." U.S. Catholic Historian 15, no. 2 (1997): 59-60. www.jstor.org/stable/25154583.</w:t>
      </w:r>
    </w:p>
  </w:footnote>
  <w:footnote w:id="33">
    <w:p w:rsidR="00000000" w:rsidDel="00000000" w:rsidP="00000000" w:rsidRDefault="00000000" w:rsidRPr="00000000" w14:paraId="0000002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Wilder, “War and Priests.” 241.</w:t>
      </w:r>
    </w:p>
  </w:footnote>
  <w:footnote w:id="13">
    <w:p w:rsidR="00000000" w:rsidDel="00000000" w:rsidP="00000000" w:rsidRDefault="00000000" w:rsidRPr="00000000" w14:paraId="0000002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Faust, Drew Gilpin. "A Southern Stewardship: The Intellectual and the Proslavery Argument." American Quarterly 31, no. 1 (1979): 63-80. doi:10.2307/2712487.</w:t>
      </w:r>
    </w:p>
  </w:footnote>
  <w:footnote w:id="14">
    <w:p w:rsidR="00000000" w:rsidDel="00000000" w:rsidP="00000000" w:rsidRDefault="00000000" w:rsidRPr="00000000" w14:paraId="0000002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Harrison, Lowell. "Thomas Roderick Dew: Philosopher of the Old South." The Virginia Magazine of History and Biography 57, no. 4 (1949): 390-404. www.jstor.org/stable/4245656.</w:t>
      </w:r>
    </w:p>
  </w:footnote>
  <w:footnote w:id="15">
    <w:p w:rsidR="00000000" w:rsidDel="00000000" w:rsidP="00000000" w:rsidRDefault="00000000" w:rsidRPr="00000000" w14:paraId="0000002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6">
    <w:p w:rsidR="00000000" w:rsidDel="00000000" w:rsidP="00000000" w:rsidRDefault="00000000" w:rsidRPr="00000000" w14:paraId="0000002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7">
    <w:p w:rsidR="00000000" w:rsidDel="00000000" w:rsidP="00000000" w:rsidRDefault="00000000" w:rsidRPr="00000000" w14:paraId="0000002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SCHÖBERLEIN, STEFAN. "A Professor’s Civil War: M. Schele De Vere’s Struggle with the Confederacy." The Virginia Magazine of History and Biography 127, no. 2 (2019): 134. www.jstor.org/stable/26654352.</w:t>
      </w:r>
    </w:p>
  </w:footnote>
  <w:footnote w:id="18">
    <w:p w:rsidR="00000000" w:rsidDel="00000000" w:rsidP="00000000" w:rsidRDefault="00000000" w:rsidRPr="00000000" w14:paraId="0000002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Pasquier, Michael. ""Though Their Skin Remains Brown, I Hope Their Souls Will Soon Be White": Slavery, French Missionaries, and the Roman Catholic Priesthood in the American South, 1789-1865." Church History 77, no. 2 (2008): 337-70. www.jstor.org/stable/20618490.</w:t>
      </w:r>
    </w:p>
  </w:footnote>
  <w:footnote w:id="19">
    <w:p w:rsidR="00000000" w:rsidDel="00000000" w:rsidP="00000000" w:rsidRDefault="00000000" w:rsidRPr="00000000" w14:paraId="0000002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O’Brien, </w:t>
      </w:r>
      <w:r w:rsidDel="00000000" w:rsidR="00000000" w:rsidRPr="00000000">
        <w:rPr>
          <w:rFonts w:ascii="Times New Roman" w:cs="Times New Roman" w:eastAsia="Times New Roman" w:hAnsi="Times New Roman"/>
          <w:i w:val="1"/>
          <w:sz w:val="20"/>
          <w:szCs w:val="20"/>
          <w:rtl w:val="0"/>
        </w:rPr>
        <w:t xml:space="preserve">Conjectures.</w:t>
      </w:r>
      <w:r w:rsidDel="00000000" w:rsidR="00000000" w:rsidRPr="00000000">
        <w:rPr>
          <w:rFonts w:ascii="Times New Roman" w:cs="Times New Roman" w:eastAsia="Times New Roman" w:hAnsi="Times New Roman"/>
          <w:sz w:val="20"/>
          <w:szCs w:val="20"/>
          <w:rtl w:val="0"/>
        </w:rPr>
        <w:t xml:space="preserve"> 281</w:t>
      </w:r>
    </w:p>
  </w:footnote>
  <w:footnote w:id="20">
    <w:p w:rsidR="00000000" w:rsidDel="00000000" w:rsidP="00000000" w:rsidRDefault="00000000" w:rsidRPr="00000000" w14:paraId="0000002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287.</w:t>
      </w:r>
    </w:p>
  </w:footnote>
  <w:footnote w:id="26">
    <w:p w:rsidR="00000000" w:rsidDel="00000000" w:rsidP="00000000" w:rsidRDefault="00000000" w:rsidRPr="00000000" w14:paraId="0000002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Rammelkamp, Charles H. "The Reverberations of the Slavery Conflict in a Pioneer College." The Mississippi Valley Historical Review 14, no. 4 (1928): 447-61. www.jstor.org/stable/1897149.</w:t>
      </w:r>
    </w:p>
  </w:footnote>
  <w:footnote w:id="28">
    <w:p w:rsidR="00000000" w:rsidDel="00000000" w:rsidP="00000000" w:rsidRDefault="00000000" w:rsidRPr="00000000" w14:paraId="0000002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Eaton, Clement. "The Freedom of the Press in the Upper South." The Mississippi Valley Historical Review 18, no. 4 (1932): 479-99. www.jstor.org/stable/1898559.</w:t>
      </w:r>
    </w:p>
  </w:footnote>
  <w:footnote w:id="23">
    <w:p w:rsidR="00000000" w:rsidDel="00000000" w:rsidP="00000000" w:rsidRDefault="00000000" w:rsidRPr="00000000" w14:paraId="0000002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Nye, Russel B. "Civil Liberties and the Antislavery Controversy." Science &amp; Society 9, no. 2 (1945): 125-46. www.jstor.org/stable/40399693.</w:t>
      </w:r>
    </w:p>
  </w:footnote>
  <w:footnote w:id="22">
    <w:p w:rsidR="00000000" w:rsidDel="00000000" w:rsidP="00000000" w:rsidRDefault="00000000" w:rsidRPr="00000000" w14:paraId="0000002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285.</w:t>
      </w:r>
    </w:p>
  </w:footnote>
  <w:footnote w:id="24">
    <w:p w:rsidR="00000000" w:rsidDel="00000000" w:rsidP="00000000" w:rsidRDefault="00000000" w:rsidRPr="00000000" w14:paraId="0000002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Beauregard, Erving E. "Slavery, Higher Education and Academic Freedom in Ohio." Journal of Presbyterian History (1962-1985) 60, no. 3 (1982): 210-26. www.jstor.org/stable/23328436.</w:t>
      </w:r>
    </w:p>
  </w:footnote>
  <w:footnote w:id="25">
    <w:p w:rsidR="00000000" w:rsidDel="00000000" w:rsidP="00000000" w:rsidRDefault="00000000" w:rsidRPr="00000000" w14:paraId="0000003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Nye, “Civil Liberties.” 142.</w:t>
      </w:r>
    </w:p>
  </w:footnote>
  <w:footnote w:id="21">
    <w:p w:rsidR="00000000" w:rsidDel="00000000" w:rsidP="00000000" w:rsidRDefault="00000000" w:rsidRPr="00000000" w14:paraId="0000003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Fox-Genovese, Elizabeth, and Eugene D. Genovese.</w:t>
      </w:r>
      <w:r w:rsidDel="00000000" w:rsidR="00000000" w:rsidRPr="00000000">
        <w:rPr>
          <w:rFonts w:ascii="Times New Roman" w:cs="Times New Roman" w:eastAsia="Times New Roman" w:hAnsi="Times New Roman"/>
          <w:i w:val="1"/>
          <w:sz w:val="20"/>
          <w:szCs w:val="20"/>
          <w:rtl w:val="0"/>
        </w:rPr>
        <w:t xml:space="preserve"> The Mind of the Master Class: History and Faith in the Southern Slaveholders Worldview</w:t>
      </w:r>
      <w:r w:rsidDel="00000000" w:rsidR="00000000" w:rsidRPr="00000000">
        <w:rPr>
          <w:rFonts w:ascii="Times New Roman" w:cs="Times New Roman" w:eastAsia="Times New Roman" w:hAnsi="Times New Roman"/>
          <w:sz w:val="20"/>
          <w:szCs w:val="20"/>
          <w:rtl w:val="0"/>
        </w:rPr>
        <w:t xml:space="preserve">, 245</w:t>
      </w:r>
      <w:r w:rsidDel="00000000" w:rsidR="00000000" w:rsidRPr="00000000">
        <w:rPr>
          <w:rFonts w:ascii="Times New Roman" w:cs="Times New Roman" w:eastAsia="Times New Roman" w:hAnsi="Times New Roman"/>
          <w:sz w:val="20"/>
          <w:szCs w:val="20"/>
          <w:rtl w:val="0"/>
        </w:rPr>
        <w:t xml:space="preserve">. New York: Cambridge University Press, (2005).</w:t>
      </w:r>
    </w:p>
  </w:footnote>
  <w:footnote w:id="27">
    <w:p w:rsidR="00000000" w:rsidDel="00000000" w:rsidP="00000000" w:rsidRDefault="00000000" w:rsidRPr="00000000" w14:paraId="0000003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Nye, “Civil Liberties,” 143</w:t>
      </w:r>
    </w:p>
  </w:footnote>
  <w:footnote w:id="29">
    <w:p w:rsidR="00000000" w:rsidDel="00000000" w:rsidP="00000000" w:rsidRDefault="00000000" w:rsidRPr="00000000" w14:paraId="0000003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333333"/>
          <w:sz w:val="20"/>
          <w:szCs w:val="20"/>
          <w:highlight w:val="white"/>
          <w:rtl w:val="0"/>
        </w:rPr>
        <w:t xml:space="preserve">Baptist, Edward E. </w:t>
      </w:r>
      <w:r w:rsidDel="00000000" w:rsidR="00000000" w:rsidRPr="00000000">
        <w:rPr>
          <w:rFonts w:ascii="Times New Roman" w:cs="Times New Roman" w:eastAsia="Times New Roman" w:hAnsi="Times New Roman"/>
          <w:i w:val="1"/>
          <w:color w:val="333333"/>
          <w:sz w:val="20"/>
          <w:szCs w:val="20"/>
          <w:rtl w:val="0"/>
        </w:rPr>
        <w:t xml:space="preserve">The Half Has Never Been Told: Slavery and the Making of American Capitalism</w:t>
      </w:r>
      <w:r w:rsidDel="00000000" w:rsidR="00000000" w:rsidRPr="00000000">
        <w:rPr>
          <w:rFonts w:ascii="Times New Roman" w:cs="Times New Roman" w:eastAsia="Times New Roman" w:hAnsi="Times New Roman"/>
          <w:color w:val="333333"/>
          <w:sz w:val="20"/>
          <w:szCs w:val="20"/>
          <w:highlight w:val="white"/>
          <w:rtl w:val="0"/>
        </w:rPr>
        <w:t xml:space="preserve">.</w:t>
      </w:r>
      <w:r w:rsidDel="00000000" w:rsidR="00000000" w:rsidRPr="00000000">
        <w:rPr>
          <w:rFonts w:ascii="Times New Roman" w:cs="Times New Roman" w:eastAsia="Times New Roman" w:hAnsi="Times New Roman"/>
          <w:color w:val="333333"/>
          <w:sz w:val="20"/>
          <w:szCs w:val="20"/>
          <w:highlight w:val="white"/>
          <w:rtl w:val="0"/>
        </w:rPr>
        <w:t xml:space="preserve"> New York, NY: Basic Books, (2016): 314.</w:t>
      </w:r>
      <w:r w:rsidDel="00000000" w:rsidR="00000000" w:rsidRPr="00000000">
        <w:rPr>
          <w:rtl w:val="0"/>
        </w:rPr>
      </w:r>
    </w:p>
  </w:footnote>
  <w:footnote w:id="34">
    <w:p w:rsidR="00000000" w:rsidDel="00000000" w:rsidP="00000000" w:rsidRDefault="00000000" w:rsidRPr="00000000" w14:paraId="0000003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Wright, “Ambivalent Bastions,” 473.</w:t>
      </w:r>
    </w:p>
  </w:footnote>
  <w:footnote w:id="35">
    <w:p w:rsidR="00000000" w:rsidDel="00000000" w:rsidP="00000000" w:rsidRDefault="00000000" w:rsidRPr="00000000" w14:paraId="0000003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Alexander Keller - Minds, Bibles, and Chains: Intellectual Culture in the Old South</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