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r>
      <w:r w:rsidDel="00000000" w:rsidR="00000000" w:rsidRPr="00000000">
        <w:rPr>
          <w:rFonts w:ascii="Times New Roman" w:cs="Times New Roman" w:eastAsia="Times New Roman" w:hAnsi="Times New Roman"/>
          <w:b w:val="1"/>
          <w:rtl w:val="0"/>
        </w:rPr>
        <w:t xml:space="preserve">Racism and Nationalism as Agents of American Exceptionalism in World War II</w:t>
      </w:r>
      <w:r w:rsidDel="00000000" w:rsidR="00000000" w:rsidRPr="00000000">
        <w:rPr>
          <w:rtl w:val="0"/>
        </w:rPr>
      </w:r>
    </w:p>
    <w:p w:rsidR="00000000" w:rsidDel="00000000" w:rsidP="00000000" w:rsidRDefault="00000000" w:rsidRPr="00000000" w14:paraId="00000002">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American historiography of World War II during the Cold War is defined by its assumption that the United States saw its finest hours on the shores of Normandy and Okinawa. According to what is now known as the “good war” myth, the United States fought valiantly against the forces of racial prejudice and cruelty in defense of freedom and humanity after being forced into the war by the feminine cowardice of the French and British and the naive connivance of the Soviets. This paper will argue that since the fall of the Soviet Union and the end of the Cold War, historians have challenged the absolutist “good war” narrative and developed new analyses of American involvement in World War II that are far more nuanced and critical. They acknowledge that throughout the war, the United States continued to struggle with racism directed towards non-white people both externally and internally. These narratives also recognize that the French, British, and Soviet choices to appease or collaborate with the Nazis were based more in necessity and tactics than in cravenness or strategy. </w:t>
      </w:r>
    </w:p>
    <w:p w:rsidR="00000000" w:rsidDel="00000000" w:rsidP="00000000" w:rsidRDefault="00000000" w:rsidRPr="00000000" w14:paraId="00000003">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the decades of the twentieth century following the end of the Second World War, mythologies developed among the former Allies. Although the Soviet, British, and American points of view differed greatly in many respects, they all held in common the belief that World War II was a virtuous and noble era of their nation’s history. However, historians in the United States, under the political pressures of the Cold War, took their praise a step further. American consensus grew around the “good war” myth, in which America ascended from the throes of the Great Depression and “emerged at the war’s end as the leader of the free world and richest nation in human history.”</w:t>
      </w:r>
      <w:r w:rsidDel="00000000" w:rsidR="00000000" w:rsidRPr="00000000">
        <w:rPr>
          <w:rFonts w:ascii="Times New Roman" w:cs="Times New Roman" w:eastAsia="Times New Roman" w:hAnsi="Times New Roman"/>
          <w:sz w:val="24"/>
          <w:szCs w:val="24"/>
          <w:vertAlign w:val="superscript"/>
        </w:rPr>
        <w:footnoteReference w:customMarkFollows="0" w:id="0"/>
      </w:r>
      <w:r w:rsidDel="00000000" w:rsidR="00000000" w:rsidRPr="00000000">
        <w:rPr>
          <w:rFonts w:ascii="Times New Roman" w:cs="Times New Roman" w:eastAsia="Times New Roman" w:hAnsi="Times New Roman"/>
          <w:sz w:val="24"/>
          <w:szCs w:val="24"/>
          <w:rtl w:val="0"/>
        </w:rPr>
        <w:t xml:space="preserve"> According to this myth, the United States proved to be the only force capable of standing up in defense of democracy and liberalism, the only force truly able to stand up to the fascist threat. The British and French were characterized as inept enablers who naively thought they could avoid war by appeasing Hitler.</w:t>
      </w:r>
    </w:p>
    <w:p w:rsidR="00000000" w:rsidDel="00000000" w:rsidP="00000000" w:rsidRDefault="00000000" w:rsidRPr="00000000" w14:paraId="00000004">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However, this assessment of the British and French strategies assumes that there was a viable alternative option to appeasement. It implies that they should have known that Hitler could not be trusted, and that therefore they should have declared war far earlier than they did. However, these claims unfairly apply historical knowledge to the past. Michael Adams writes that “the precise time to stand up to authoritarianism was not obvious.”</w:t>
      </w:r>
      <w:r w:rsidDel="00000000" w:rsidR="00000000" w:rsidRPr="00000000">
        <w:rPr>
          <w:rFonts w:ascii="Times New Roman" w:cs="Times New Roman" w:eastAsia="Times New Roman" w:hAnsi="Times New Roman"/>
          <w:sz w:val="24"/>
          <w:szCs w:val="24"/>
          <w:vertAlign w:val="superscript"/>
        </w:rPr>
        <w:footnoteReference w:customMarkFollows="0" w:id="1"/>
      </w:r>
      <w:r w:rsidDel="00000000" w:rsidR="00000000" w:rsidRPr="00000000">
        <w:rPr>
          <w:rFonts w:ascii="Times New Roman" w:cs="Times New Roman" w:eastAsia="Times New Roman" w:hAnsi="Times New Roman"/>
          <w:sz w:val="24"/>
          <w:szCs w:val="24"/>
          <w:rtl w:val="0"/>
        </w:rPr>
        <w:t xml:space="preserve"> The British and French had no way of knowing precisely what time was optimal to finally stand up to Hitler or where to draw a line in the sand. Historians with the advantage of hindsight have even struggled to argue how intervention would have worked or when it should have taken place, a</w:t>
      </w:r>
      <w:r w:rsidDel="00000000" w:rsidR="00000000" w:rsidRPr="00000000">
        <w:rPr>
          <w:rFonts w:ascii="Times New Roman" w:cs="Times New Roman" w:eastAsia="Times New Roman" w:hAnsi="Times New Roman"/>
          <w:sz w:val="24"/>
          <w:szCs w:val="24"/>
          <w:rtl w:val="0"/>
        </w:rPr>
        <w:t xml:space="preserve">s Adams suggests when he notes that “the idea that Hitler could have been contained and made to behave by confronting him earlier is an argument more often asserted than proved.”</w:t>
      </w:r>
      <w:r w:rsidDel="00000000" w:rsidR="00000000" w:rsidRPr="00000000">
        <w:rPr>
          <w:rFonts w:ascii="Times New Roman" w:cs="Times New Roman" w:eastAsia="Times New Roman" w:hAnsi="Times New Roman"/>
          <w:sz w:val="24"/>
          <w:szCs w:val="24"/>
          <w:vertAlign w:val="superscript"/>
        </w:rPr>
        <w:footnoteReference w:customMarkFollows="0" w:id="2"/>
      </w:r>
      <w:r w:rsidDel="00000000" w:rsidR="00000000" w:rsidRPr="00000000">
        <w:rPr>
          <w:rFonts w:ascii="Times New Roman" w:cs="Times New Roman" w:eastAsia="Times New Roman" w:hAnsi="Times New Roman"/>
          <w:sz w:val="24"/>
          <w:szCs w:val="24"/>
          <w:rtl w:val="0"/>
        </w:rPr>
        <w:t xml:space="preserve"> Moreover, the United States found about as much success in using an alternative strategy to appeasement in Asia and the Pacific. Armed deterrence proved no more useful than appeasement in preventing the outbreak of war, nor is it clear that it helped prepare the American military any better. The Japanese military outclassed the Americans technologically at the beginning of the war, and proved to be far more efficient in terms of both manpower and use of resources.</w:t>
      </w:r>
      <w:r w:rsidDel="00000000" w:rsidR="00000000" w:rsidRPr="00000000">
        <w:rPr>
          <w:rFonts w:ascii="Times New Roman" w:cs="Times New Roman" w:eastAsia="Times New Roman" w:hAnsi="Times New Roman"/>
          <w:sz w:val="24"/>
          <w:szCs w:val="24"/>
          <w:vertAlign w:val="superscript"/>
        </w:rPr>
        <w:footnoteReference w:customMarkFollows="0" w:id="3"/>
      </w:r>
      <w:r w:rsidDel="00000000" w:rsidR="00000000" w:rsidRPr="00000000">
        <w:rPr>
          <w:rtl w:val="0"/>
        </w:rPr>
      </w:r>
    </w:p>
    <w:p w:rsidR="00000000" w:rsidDel="00000000" w:rsidP="00000000" w:rsidRDefault="00000000" w:rsidRPr="00000000" w14:paraId="00000005">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Furthermore, Britain and France simply did not have the resources necessary to go to war any earlier than they ultimately did. Lizzie Collingham writes that “in the 1930s the only food in which Britain was entirely self-sufficient was liquid milk.”</w:t>
      </w:r>
      <w:r w:rsidDel="00000000" w:rsidR="00000000" w:rsidRPr="00000000">
        <w:rPr>
          <w:rFonts w:ascii="Times New Roman" w:cs="Times New Roman" w:eastAsia="Times New Roman" w:hAnsi="Times New Roman"/>
          <w:sz w:val="24"/>
          <w:szCs w:val="24"/>
          <w:vertAlign w:val="superscript"/>
        </w:rPr>
        <w:footnoteReference w:customMarkFollows="0" w:id="4"/>
      </w:r>
      <w:r w:rsidDel="00000000" w:rsidR="00000000" w:rsidRPr="00000000">
        <w:rPr>
          <w:rFonts w:ascii="Times New Roman" w:cs="Times New Roman" w:eastAsia="Times New Roman" w:hAnsi="Times New Roman"/>
          <w:sz w:val="24"/>
          <w:szCs w:val="24"/>
          <w:rtl w:val="0"/>
        </w:rPr>
        <w:t xml:space="preserve"> Britain had long been reliant on food imports, and war seriously risked disrupting the nation’s precarious food supply chain. Sure enough, a “lack of shipping … combined with mismanagement at the ports, a creaking internal rail network, </w:t>
      </w:r>
      <w:r w:rsidDel="00000000" w:rsidR="00000000" w:rsidRPr="00000000">
        <w:rPr>
          <w:rFonts w:ascii="Times New Roman" w:cs="Times New Roman" w:eastAsia="Times New Roman" w:hAnsi="Times New Roman"/>
          <w:i w:val="1"/>
          <w:sz w:val="24"/>
          <w:szCs w:val="24"/>
          <w:rtl w:val="0"/>
        </w:rPr>
        <w:t xml:space="preserve">and </w:t>
      </w:r>
      <w:r w:rsidDel="00000000" w:rsidR="00000000" w:rsidRPr="00000000">
        <w:rPr>
          <w:rFonts w:ascii="Times New Roman" w:cs="Times New Roman" w:eastAsia="Times New Roman" w:hAnsi="Times New Roman"/>
          <w:sz w:val="24"/>
          <w:szCs w:val="24"/>
          <w:rtl w:val="0"/>
        </w:rPr>
        <w:t xml:space="preserve">the U-Boats … led to a drastic fall in total imports arriving in Britain from 68 million tons before the war to 26 million tons in 1941.”</w:t>
      </w:r>
      <w:r w:rsidDel="00000000" w:rsidR="00000000" w:rsidRPr="00000000">
        <w:rPr>
          <w:rFonts w:ascii="Times New Roman" w:cs="Times New Roman" w:eastAsia="Times New Roman" w:hAnsi="Times New Roman"/>
          <w:sz w:val="24"/>
          <w:szCs w:val="24"/>
          <w:vertAlign w:val="superscript"/>
        </w:rPr>
        <w:footnoteReference w:customMarkFollows="0" w:id="5"/>
      </w:r>
      <w:r w:rsidDel="00000000" w:rsidR="00000000" w:rsidRPr="00000000">
        <w:rPr>
          <w:rFonts w:ascii="Times New Roman" w:cs="Times New Roman" w:eastAsia="Times New Roman" w:hAnsi="Times New Roman"/>
          <w:sz w:val="24"/>
          <w:szCs w:val="24"/>
          <w:rtl w:val="0"/>
        </w:rPr>
        <w:t xml:space="preserve"> The British were only able to keep their country’s shelves stocked after engaging in an agricultural revolution that vastly expanded the amount of land used for farming, a food rationing regime, and restructuring its imports to maximize caloric efficiency. Even as late as 1939, “only one in six British farmers owned a tractor.”</w:t>
      </w:r>
      <w:r w:rsidDel="00000000" w:rsidR="00000000" w:rsidRPr="00000000">
        <w:rPr>
          <w:rFonts w:ascii="Times New Roman" w:cs="Times New Roman" w:eastAsia="Times New Roman" w:hAnsi="Times New Roman"/>
          <w:sz w:val="24"/>
          <w:szCs w:val="24"/>
          <w:vertAlign w:val="superscript"/>
        </w:rPr>
        <w:footnoteReference w:customMarkFollows="0" w:id="6"/>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6">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Britain and France also recognized the perilous situation their militaries were in. Critics of the appeasement policy have critiqued it as hopelessly naive, arguing that the British and French were too focused on maintaining peace and would have been better off rearming their militaries and balancing their wartime capabilities with those of Germany. However, this presents a false dichotomy. Norrin Ripsman and Jack Levy write that “British appeasement was not based on a naive understanding of Hitler’s intentions or on wishful thinking about the possibility of peace with Germany, nor was it an alternative to balancing.”</w:t>
      </w:r>
      <w:r w:rsidDel="00000000" w:rsidR="00000000" w:rsidRPr="00000000">
        <w:rPr>
          <w:rFonts w:ascii="Times New Roman" w:cs="Times New Roman" w:eastAsia="Times New Roman" w:hAnsi="Times New Roman"/>
          <w:sz w:val="24"/>
          <w:szCs w:val="24"/>
          <w:vertAlign w:val="superscript"/>
        </w:rPr>
        <w:footnoteReference w:customMarkFollows="0" w:id="7"/>
      </w:r>
      <w:r w:rsidDel="00000000" w:rsidR="00000000" w:rsidRPr="00000000">
        <w:rPr>
          <w:rFonts w:ascii="Times New Roman" w:cs="Times New Roman" w:eastAsia="Times New Roman" w:hAnsi="Times New Roman"/>
          <w:sz w:val="24"/>
          <w:szCs w:val="24"/>
          <w:rtl w:val="0"/>
        </w:rPr>
        <w:t xml:space="preserve"> In reality, “British leaders recognized the German threat but felt they had no good options for dealing with it.”</w:t>
      </w:r>
      <w:r w:rsidDel="00000000" w:rsidR="00000000" w:rsidRPr="00000000">
        <w:rPr>
          <w:rFonts w:ascii="Times New Roman" w:cs="Times New Roman" w:eastAsia="Times New Roman" w:hAnsi="Times New Roman"/>
          <w:sz w:val="24"/>
          <w:szCs w:val="24"/>
          <w:vertAlign w:val="superscript"/>
        </w:rPr>
        <w:footnoteReference w:customMarkFollows="0" w:id="8"/>
      </w:r>
      <w:r w:rsidDel="00000000" w:rsidR="00000000" w:rsidRPr="00000000">
        <w:rPr>
          <w:rFonts w:ascii="Times New Roman" w:cs="Times New Roman" w:eastAsia="Times New Roman" w:hAnsi="Times New Roman"/>
          <w:sz w:val="24"/>
          <w:szCs w:val="24"/>
          <w:rtl w:val="0"/>
        </w:rPr>
        <w:t xml:space="preserve"> British military advisors also feared the strength of the </w:t>
      </w:r>
      <w:r w:rsidDel="00000000" w:rsidR="00000000" w:rsidRPr="00000000">
        <w:rPr>
          <w:rFonts w:ascii="Times New Roman" w:cs="Times New Roman" w:eastAsia="Times New Roman" w:hAnsi="Times New Roman"/>
          <w:i w:val="1"/>
          <w:sz w:val="24"/>
          <w:szCs w:val="24"/>
          <w:rtl w:val="0"/>
        </w:rPr>
        <w:t xml:space="preserve">Luftwaffe</w:t>
      </w:r>
      <w:r w:rsidDel="00000000" w:rsidR="00000000" w:rsidRPr="00000000">
        <w:rPr>
          <w:rFonts w:ascii="Times New Roman" w:cs="Times New Roman" w:eastAsia="Times New Roman" w:hAnsi="Times New Roman"/>
          <w:sz w:val="24"/>
          <w:szCs w:val="24"/>
          <w:rtl w:val="0"/>
        </w:rPr>
        <w:t xml:space="preserve"> and were convinced that going to war would lead to the utter destruction of their country.</w:t>
      </w:r>
      <w:r w:rsidDel="00000000" w:rsidR="00000000" w:rsidRPr="00000000">
        <w:rPr>
          <w:rFonts w:ascii="Times New Roman" w:cs="Times New Roman" w:eastAsia="Times New Roman" w:hAnsi="Times New Roman"/>
          <w:sz w:val="24"/>
          <w:szCs w:val="24"/>
          <w:vertAlign w:val="superscript"/>
        </w:rPr>
        <w:footnoteReference w:customMarkFollows="0" w:id="9"/>
      </w:r>
      <w:r w:rsidDel="00000000" w:rsidR="00000000" w:rsidRPr="00000000">
        <w:rPr>
          <w:rFonts w:ascii="Times New Roman" w:cs="Times New Roman" w:eastAsia="Times New Roman" w:hAnsi="Times New Roman"/>
          <w:sz w:val="24"/>
          <w:szCs w:val="24"/>
          <w:rtl w:val="0"/>
        </w:rPr>
        <w:t xml:space="preserve"> They felt that their best option was to delay the war for as long as possible in order to build up their resources and military strength, even if this meant temporarily placating Hitler. </w:t>
      </w:r>
    </w:p>
    <w:p w:rsidR="00000000" w:rsidDel="00000000" w:rsidP="00000000" w:rsidRDefault="00000000" w:rsidRPr="00000000" w14:paraId="00000007">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Dr. Jeffrey Record argues that French leaders faced a number of significant obstacles as well, including government instability and a military that was too weak and strategically inflexible to convince potential European allies that it could defend them.</w:t>
      </w:r>
      <w:r w:rsidDel="00000000" w:rsidR="00000000" w:rsidRPr="00000000">
        <w:rPr>
          <w:rFonts w:ascii="Times New Roman" w:cs="Times New Roman" w:eastAsia="Times New Roman" w:hAnsi="Times New Roman"/>
          <w:sz w:val="24"/>
          <w:szCs w:val="24"/>
          <w:vertAlign w:val="superscript"/>
        </w:rPr>
        <w:footnoteReference w:customMarkFollows="0" w:id="10"/>
      </w:r>
      <w:r w:rsidDel="00000000" w:rsidR="00000000" w:rsidRPr="00000000">
        <w:rPr>
          <w:rFonts w:ascii="Times New Roman" w:cs="Times New Roman" w:eastAsia="Times New Roman" w:hAnsi="Times New Roman"/>
          <w:sz w:val="24"/>
          <w:szCs w:val="24"/>
          <w:rtl w:val="0"/>
        </w:rPr>
        <w:t xml:space="preserve"> The French and British relationship was also plagued by distrust that made presenting a unified front against Hitler difficult if not impossible. A significant number of British elites believed it was in their nation’s best interests to ally with Germany, leading the French to question whether or not they could rely on the British to support them in a war against Hitler.</w:t>
      </w:r>
      <w:r w:rsidDel="00000000" w:rsidR="00000000" w:rsidRPr="00000000">
        <w:rPr>
          <w:rFonts w:ascii="Times New Roman" w:cs="Times New Roman" w:eastAsia="Times New Roman" w:hAnsi="Times New Roman"/>
          <w:sz w:val="24"/>
          <w:szCs w:val="24"/>
          <w:vertAlign w:val="superscript"/>
        </w:rPr>
        <w:footnoteReference w:customMarkFollows="0" w:id="11"/>
      </w:r>
      <w:r w:rsidDel="00000000" w:rsidR="00000000" w:rsidRPr="00000000">
        <w:rPr>
          <w:rFonts w:ascii="Times New Roman" w:cs="Times New Roman" w:eastAsia="Times New Roman" w:hAnsi="Times New Roman"/>
          <w:sz w:val="24"/>
          <w:szCs w:val="24"/>
          <w:rtl w:val="0"/>
        </w:rPr>
        <w:t xml:space="preserve"> Furthermore, “the dictator nations [were not] a monolith with a united front that prompted a uniform response.”</w:t>
      </w:r>
      <w:r w:rsidDel="00000000" w:rsidR="00000000" w:rsidRPr="00000000">
        <w:rPr>
          <w:rFonts w:ascii="Times New Roman" w:cs="Times New Roman" w:eastAsia="Times New Roman" w:hAnsi="Times New Roman"/>
          <w:sz w:val="24"/>
          <w:szCs w:val="24"/>
          <w:vertAlign w:val="superscript"/>
        </w:rPr>
        <w:footnoteReference w:customMarkFollows="0" w:id="12"/>
      </w:r>
      <w:r w:rsidDel="00000000" w:rsidR="00000000" w:rsidRPr="00000000">
        <w:rPr>
          <w:rFonts w:ascii="Times New Roman" w:cs="Times New Roman" w:eastAsia="Times New Roman" w:hAnsi="Times New Roman"/>
          <w:sz w:val="24"/>
          <w:szCs w:val="24"/>
          <w:rtl w:val="0"/>
        </w:rPr>
        <w:t xml:space="preserve"> \German officials often sent conflicting signals. For example, although Hitler had long been in favor of a British-German alliance, Joachim von Ribbentrop signalled to the Soviets in 1939 that Germany was more interested in aligning with them than with Britain.</w:t>
      </w:r>
      <w:r w:rsidDel="00000000" w:rsidR="00000000" w:rsidRPr="00000000">
        <w:rPr>
          <w:rFonts w:ascii="Times New Roman" w:cs="Times New Roman" w:eastAsia="Times New Roman" w:hAnsi="Times New Roman"/>
          <w:sz w:val="24"/>
          <w:szCs w:val="24"/>
          <w:vertAlign w:val="superscript"/>
        </w:rPr>
        <w:footnoteReference w:customMarkFollows="0" w:id="13"/>
      </w:r>
      <w:r w:rsidDel="00000000" w:rsidR="00000000" w:rsidRPr="00000000">
        <w:rPr>
          <w:rFonts w:ascii="Times New Roman" w:cs="Times New Roman" w:eastAsia="Times New Roman" w:hAnsi="Times New Roman"/>
          <w:sz w:val="24"/>
          <w:szCs w:val="24"/>
          <w:rtl w:val="0"/>
        </w:rPr>
        <w:t xml:space="preserve"> These mixed messages made it difficult to determine which strategy was best for dealing with the Nazi threat.</w:t>
      </w:r>
    </w:p>
    <w:p w:rsidR="00000000" w:rsidDel="00000000" w:rsidP="00000000" w:rsidRDefault="00000000" w:rsidRPr="00000000" w14:paraId="00000008">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Modern historians generally agree that the choice to temporarily appease Hitler was based on rational concerns. Neither France nor Britain were confident in their own ability to wage war against the Nazis, nor did they trust their potential allies to do so. In such an unstable situation, appeasement was the only policy that made any sense. It was meant to provide time for France and Britain to organize their nations for war, not as a permanent solution. If it had been, “neither Britain nor France would have gone to war in September 1939 over a Poland neither was in a position to defend.”</w:t>
      </w:r>
      <w:r w:rsidDel="00000000" w:rsidR="00000000" w:rsidRPr="00000000">
        <w:rPr>
          <w:rFonts w:ascii="Times New Roman" w:cs="Times New Roman" w:eastAsia="Times New Roman" w:hAnsi="Times New Roman"/>
          <w:sz w:val="24"/>
          <w:szCs w:val="24"/>
          <w:vertAlign w:val="superscript"/>
        </w:rPr>
        <w:footnoteReference w:customMarkFollows="0" w:id="14"/>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9">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Soviet Union is often charged with the more severe crime of collaborating with the Nazis. The Molotov-Ribbentrop Pact, signed in August 1939, carved  Scandinavia and the Baltics into Soviet and German spheres of influence and secretly split Poland between the two signatories. Until recently, American historians have framed the Soviet Union’s signing of the pact  as an opportunistic act of collaboration that reflected Stalin’s ignorance of Hitler’s genocidal intentions. However, this version of events that led to the non-aggression pact was a product of Cold War revisionism. In the years between the end of World War II and the Cold War, historical consensus generally agreed upon a more nuanced narrative.</w:t>
      </w:r>
    </w:p>
    <w:p w:rsidR="00000000" w:rsidDel="00000000" w:rsidP="00000000" w:rsidRDefault="00000000" w:rsidRPr="00000000" w14:paraId="0000000A">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This narrative recognized that the Soviet Union, much like France and Britain, was not in a position to go to war with Germany any earlier than it did. As the Cold War began to escalate however, political pressure encouraged Western historians to portray Stalin as naive or as an opportunistic brute. In this telling of history, Stalin was either incapable of realizing that Hitler would eventually turn on him, or was willing to turn a blind eye to Hitler’s crimes in exchange for influence and territory in Eastern Europe. These views were dominant for several decades, but when </w:t>
      </w:r>
      <w:r w:rsidDel="00000000" w:rsidR="00000000" w:rsidRPr="00000000">
        <w:rPr>
          <w:rFonts w:ascii="Times New Roman" w:cs="Times New Roman" w:eastAsia="Times New Roman" w:hAnsi="Times New Roman"/>
          <w:i w:val="1"/>
          <w:sz w:val="24"/>
          <w:szCs w:val="24"/>
          <w:rtl w:val="0"/>
        </w:rPr>
        <w:t xml:space="preserve">perestroika </w:t>
      </w:r>
      <w:r w:rsidDel="00000000" w:rsidR="00000000" w:rsidRPr="00000000">
        <w:rPr>
          <w:rFonts w:ascii="Times New Roman" w:cs="Times New Roman" w:eastAsia="Times New Roman" w:hAnsi="Times New Roman"/>
          <w:sz w:val="24"/>
          <w:szCs w:val="24"/>
          <w:rtl w:val="0"/>
        </w:rPr>
        <w:t xml:space="preserve">and </w:t>
      </w:r>
      <w:r w:rsidDel="00000000" w:rsidR="00000000" w:rsidRPr="00000000">
        <w:rPr>
          <w:rFonts w:ascii="Times New Roman" w:cs="Times New Roman" w:eastAsia="Times New Roman" w:hAnsi="Times New Roman"/>
          <w:i w:val="1"/>
          <w:sz w:val="24"/>
          <w:szCs w:val="24"/>
          <w:rtl w:val="0"/>
        </w:rPr>
        <w:t xml:space="preserve">glasnost</w:t>
      </w:r>
      <w:r w:rsidDel="00000000" w:rsidR="00000000" w:rsidRPr="00000000">
        <w:rPr>
          <w:rFonts w:ascii="Times New Roman" w:cs="Times New Roman" w:eastAsia="Times New Roman" w:hAnsi="Times New Roman"/>
          <w:sz w:val="24"/>
          <w:szCs w:val="24"/>
          <w:rtl w:val="0"/>
        </w:rPr>
        <w:t xml:space="preserve"> began to signal the end of the Cold War, historians returned to the less black-and-white interpretation that newly accessible archives suggested had been more accurate all along.</w:t>
      </w:r>
    </w:p>
    <w:p w:rsidR="00000000" w:rsidDel="00000000" w:rsidP="00000000" w:rsidRDefault="00000000" w:rsidRPr="00000000" w14:paraId="0000000B">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 early as 1947, Harold Deutsch wrote that after the Munich Agreement in 1938, “the Soviets were driven into isolation and forced to contemplate a drastic revision of their alignments.”</w:t>
      </w:r>
      <w:r w:rsidDel="00000000" w:rsidR="00000000" w:rsidRPr="00000000">
        <w:rPr>
          <w:rFonts w:ascii="Times New Roman" w:cs="Times New Roman" w:eastAsia="Times New Roman" w:hAnsi="Times New Roman"/>
          <w:sz w:val="24"/>
          <w:szCs w:val="24"/>
          <w:vertAlign w:val="superscript"/>
        </w:rPr>
        <w:footnoteReference w:customMarkFollows="0" w:id="15"/>
      </w:r>
      <w:r w:rsidDel="00000000" w:rsidR="00000000" w:rsidRPr="00000000">
        <w:rPr>
          <w:rFonts w:ascii="Times New Roman" w:cs="Times New Roman" w:eastAsia="Times New Roman" w:hAnsi="Times New Roman"/>
          <w:sz w:val="24"/>
          <w:szCs w:val="24"/>
          <w:rtl w:val="0"/>
        </w:rPr>
        <w:t xml:space="preserve"> They pursued the only option that was still available; establishing a mutual non-aggression pact with the Nazi regime. In 1992, Gabriel Gorodetsky noted that in the half century since Deutsch’s paper that “to prove Soviet connivance in the German aggression, Western historiography [had] often resorted to anecdotes” rather than documentary evidence.</w:t>
      </w:r>
      <w:r w:rsidDel="00000000" w:rsidR="00000000" w:rsidRPr="00000000">
        <w:rPr>
          <w:rFonts w:ascii="Times New Roman" w:cs="Times New Roman" w:eastAsia="Times New Roman" w:hAnsi="Times New Roman"/>
          <w:sz w:val="24"/>
          <w:szCs w:val="24"/>
          <w:vertAlign w:val="superscript"/>
        </w:rPr>
        <w:footnoteReference w:customMarkFollows="0" w:id="16"/>
      </w:r>
      <w:r w:rsidDel="00000000" w:rsidR="00000000" w:rsidRPr="00000000">
        <w:rPr>
          <w:rFonts w:ascii="Times New Roman" w:cs="Times New Roman" w:eastAsia="Times New Roman" w:hAnsi="Times New Roman"/>
          <w:sz w:val="24"/>
          <w:szCs w:val="24"/>
          <w:rtl w:val="0"/>
        </w:rPr>
        <w:t xml:space="preserve">   Historians also had largely rejected the Soviet claims that the agreement had been made under duress, but then-recently uncovered evidence had suggested that the Germans had “played on the Soviet apprehension of a ‘second Munich.’”.</w:t>
      </w:r>
      <w:r w:rsidDel="00000000" w:rsidR="00000000" w:rsidRPr="00000000">
        <w:rPr>
          <w:rFonts w:ascii="Times New Roman" w:cs="Times New Roman" w:eastAsia="Times New Roman" w:hAnsi="Times New Roman"/>
          <w:sz w:val="24"/>
          <w:szCs w:val="24"/>
          <w:vertAlign w:val="superscript"/>
        </w:rPr>
        <w:footnoteReference w:customMarkFollows="0" w:id="17"/>
      </w:r>
      <w:r w:rsidDel="00000000" w:rsidR="00000000" w:rsidRPr="00000000">
        <w:rPr>
          <w:rFonts w:ascii="Times New Roman" w:cs="Times New Roman" w:eastAsia="Times New Roman" w:hAnsi="Times New Roman"/>
          <w:sz w:val="24"/>
          <w:szCs w:val="24"/>
          <w:rtl w:val="0"/>
        </w:rPr>
        <w:t xml:space="preserve"> Geoffrey Roberts came to a similar conclusion, adding that the decision to pursue an agreement with Germany was “the result of a combination of internal politics and a desire by the USSR to signal to the French and British … that Moscow should be taken more seriously.”</w:t>
      </w:r>
      <w:r w:rsidDel="00000000" w:rsidR="00000000" w:rsidRPr="00000000">
        <w:rPr>
          <w:rFonts w:ascii="Times New Roman" w:cs="Times New Roman" w:eastAsia="Times New Roman" w:hAnsi="Times New Roman"/>
          <w:sz w:val="24"/>
          <w:szCs w:val="24"/>
          <w:vertAlign w:val="superscript"/>
        </w:rPr>
        <w:footnoteReference w:customMarkFollows="0" w:id="18"/>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C">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Historians have also uncovered evidence that the Soviets were aware of the fact that their own military was unprepared to take on the Nazi threat. Catherine Merridale writes that the political purges of the late 1930s instilled “the constant fear of political error” and that “Stalin’s purge of the political and military elite … would change officer culture for the worse.”</w:t>
      </w:r>
      <w:r w:rsidDel="00000000" w:rsidR="00000000" w:rsidRPr="00000000">
        <w:rPr>
          <w:rFonts w:ascii="Times New Roman" w:cs="Times New Roman" w:eastAsia="Times New Roman" w:hAnsi="Times New Roman"/>
          <w:sz w:val="24"/>
          <w:szCs w:val="24"/>
          <w:vertAlign w:val="superscript"/>
        </w:rPr>
        <w:footnoteReference w:customMarkFollows="0" w:id="19"/>
      </w:r>
      <w:r w:rsidDel="00000000" w:rsidR="00000000" w:rsidRPr="00000000">
        <w:rPr>
          <w:rFonts w:ascii="Times New Roman" w:cs="Times New Roman" w:eastAsia="Times New Roman" w:hAnsi="Times New Roman"/>
          <w:sz w:val="24"/>
          <w:szCs w:val="24"/>
          <w:rtl w:val="0"/>
        </w:rPr>
        <w:t xml:space="preserve"> Stalin’s purges also led to sudden, abrupt changes in strategy as Mikhail Tukhachevsky’s “plans for defense were discredited by his personal downfall.”</w:t>
      </w:r>
      <w:r w:rsidDel="00000000" w:rsidR="00000000" w:rsidRPr="00000000">
        <w:rPr>
          <w:rFonts w:ascii="Times New Roman" w:cs="Times New Roman" w:eastAsia="Times New Roman" w:hAnsi="Times New Roman"/>
          <w:sz w:val="24"/>
          <w:szCs w:val="24"/>
          <w:vertAlign w:val="superscript"/>
        </w:rPr>
        <w:footnoteReference w:customMarkFollows="0" w:id="20"/>
      </w:r>
      <w:r w:rsidDel="00000000" w:rsidR="00000000" w:rsidRPr="00000000">
        <w:rPr>
          <w:rFonts w:ascii="Times New Roman" w:cs="Times New Roman" w:eastAsia="Times New Roman" w:hAnsi="Times New Roman"/>
          <w:sz w:val="24"/>
          <w:szCs w:val="24"/>
          <w:rtl w:val="0"/>
        </w:rPr>
        <w:t xml:space="preserve"> Furthermore, thirty-five thousand officers had been purged from the Red Army between 1937 and 1939.</w:t>
      </w:r>
      <w:r w:rsidDel="00000000" w:rsidR="00000000" w:rsidRPr="00000000">
        <w:rPr>
          <w:rFonts w:ascii="Times New Roman" w:cs="Times New Roman" w:eastAsia="Times New Roman" w:hAnsi="Times New Roman"/>
          <w:sz w:val="24"/>
          <w:szCs w:val="24"/>
          <w:vertAlign w:val="superscript"/>
        </w:rPr>
        <w:footnoteReference w:customMarkFollows="0" w:id="21"/>
      </w:r>
      <w:r w:rsidDel="00000000" w:rsidR="00000000" w:rsidRPr="00000000">
        <w:rPr>
          <w:rFonts w:ascii="Times New Roman" w:cs="Times New Roman" w:eastAsia="Times New Roman" w:hAnsi="Times New Roman"/>
          <w:sz w:val="24"/>
          <w:szCs w:val="24"/>
          <w:rtl w:val="0"/>
        </w:rPr>
        <w:t xml:space="preserve"> These deficiencies would become evident in the Winter War, where the Finnish Army had managed to fight the Red Army to a bloody standstill, contrary to Soviet expectations. By the end of the Winter War in 1940, Germany was mere weeks away from conquering Western Europe. Barely a year later, Operation Barbarossa would begin, but this short interlude was enough for Stalin’s generals to begin the reforms that would transform the Red Army into a truly formidable force.</w:t>
      </w:r>
      <w:r w:rsidDel="00000000" w:rsidR="00000000" w:rsidRPr="00000000">
        <w:rPr>
          <w:rFonts w:ascii="Times New Roman" w:cs="Times New Roman" w:eastAsia="Times New Roman" w:hAnsi="Times New Roman"/>
          <w:sz w:val="24"/>
          <w:szCs w:val="24"/>
          <w:vertAlign w:val="superscript"/>
        </w:rPr>
        <w:footnoteReference w:customMarkFollows="0" w:id="22"/>
      </w:r>
      <w:r w:rsidDel="00000000" w:rsidR="00000000" w:rsidRPr="00000000">
        <w:rPr>
          <w:rtl w:val="0"/>
        </w:rPr>
      </w:r>
    </w:p>
    <w:p w:rsidR="00000000" w:rsidDel="00000000" w:rsidP="00000000" w:rsidRDefault="00000000" w:rsidRPr="00000000" w14:paraId="0000000D">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Recent works have also drawn attention to the Soviet Union’s struggle with maintaining adequate supplies. Collingham writes that the “Soviet Union entered the war with its agricultural sector in a wretched state of disrepair” as a result of the collectivization reforms Stalin had initiated in 1929.</w:t>
      </w:r>
      <w:r w:rsidDel="00000000" w:rsidR="00000000" w:rsidRPr="00000000">
        <w:rPr>
          <w:rFonts w:ascii="Times New Roman" w:cs="Times New Roman" w:eastAsia="Times New Roman" w:hAnsi="Times New Roman"/>
          <w:sz w:val="24"/>
          <w:szCs w:val="24"/>
          <w:vertAlign w:val="superscript"/>
        </w:rPr>
        <w:footnoteReference w:customMarkFollows="0" w:id="23"/>
      </w:r>
      <w:r w:rsidDel="00000000" w:rsidR="00000000" w:rsidRPr="00000000">
        <w:rPr>
          <w:rFonts w:ascii="Times New Roman" w:cs="Times New Roman" w:eastAsia="Times New Roman" w:hAnsi="Times New Roman"/>
          <w:sz w:val="24"/>
          <w:szCs w:val="24"/>
          <w:rtl w:val="0"/>
        </w:rPr>
        <w:t xml:space="preserve"> The peasants, particularly in the farming-rich region of Ukraine, had become so disillusioned with the Soviet leadership that many welcomed the Nazi invasion in the hope that they would be allocated more food. The Soviets lacked other resources, as well. Medical and training staff were stretched so thin that recruits were not even given medical examinations, schools were used as recruitment stations, and there were no barracks available.</w:t>
      </w:r>
      <w:r w:rsidDel="00000000" w:rsidR="00000000" w:rsidRPr="00000000">
        <w:rPr>
          <w:rFonts w:ascii="Times New Roman" w:cs="Times New Roman" w:eastAsia="Times New Roman" w:hAnsi="Times New Roman"/>
          <w:sz w:val="24"/>
          <w:szCs w:val="24"/>
          <w:vertAlign w:val="superscript"/>
        </w:rPr>
        <w:footnoteReference w:customMarkFollows="0" w:id="24"/>
      </w:r>
      <w:r w:rsidDel="00000000" w:rsidR="00000000" w:rsidRPr="00000000">
        <w:rPr>
          <w:rFonts w:ascii="Times New Roman" w:cs="Times New Roman" w:eastAsia="Times New Roman" w:hAnsi="Times New Roman"/>
          <w:sz w:val="24"/>
          <w:szCs w:val="24"/>
          <w:rtl w:val="0"/>
        </w:rPr>
        <w:t xml:space="preserve"> If the Soviet Union found itself in such chaos in 1941, two years after the Soviet invasion of France had signalled to the Soviet leadership that they should begin preparing for war, one can only imagine the slaughter the Red Army would have faced in 1939. Present-day historians have returned to the thesis that was dominant almost fifty years ago, agreeing that the Soviet Union’s insecurity had a more rational basis than had been acknowledged during the Cold War. </w:t>
      </w:r>
    </w:p>
    <w:p w:rsidR="00000000" w:rsidDel="00000000" w:rsidP="00000000" w:rsidRDefault="00000000" w:rsidRPr="00000000" w14:paraId="0000000E">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Consensus on the United States’ positions on race have undergone an even more profound transformation. Although the United States never applied racism and bigotry during World War II as murderously as the Nazis or Japanese did, historians have come to recognize that racism permeated American wartime decisions far more extensively than had previously been acknowledged. Americans were especially racist towards the Japanese, but “the grisly links between rape, race, and noose that had taken place in the American South at least a century before” were exported to the front as well.</w:t>
      </w:r>
      <w:r w:rsidDel="00000000" w:rsidR="00000000" w:rsidRPr="00000000">
        <w:rPr>
          <w:rFonts w:ascii="Times New Roman" w:cs="Times New Roman" w:eastAsia="Times New Roman" w:hAnsi="Times New Roman"/>
          <w:sz w:val="24"/>
          <w:szCs w:val="24"/>
          <w:vertAlign w:val="superscript"/>
        </w:rPr>
        <w:footnoteReference w:customMarkFollows="0" w:id="25"/>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F">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Mary Louise Roberts’ </w:t>
      </w:r>
      <w:r w:rsidDel="00000000" w:rsidR="00000000" w:rsidRPr="00000000">
        <w:rPr>
          <w:rFonts w:ascii="Times New Roman" w:cs="Times New Roman" w:eastAsia="Times New Roman" w:hAnsi="Times New Roman"/>
          <w:i w:val="1"/>
          <w:sz w:val="24"/>
          <w:szCs w:val="24"/>
          <w:rtl w:val="0"/>
        </w:rPr>
        <w:t xml:space="preserve">What Soldiers Do</w:t>
      </w:r>
      <w:r w:rsidDel="00000000" w:rsidR="00000000" w:rsidRPr="00000000">
        <w:rPr>
          <w:rFonts w:ascii="Times New Roman" w:cs="Times New Roman" w:eastAsia="Times New Roman" w:hAnsi="Times New Roman"/>
          <w:sz w:val="24"/>
          <w:szCs w:val="24"/>
          <w:rtl w:val="0"/>
        </w:rPr>
        <w:t xml:space="preserve"> exposes how the United States dealt with the epidemic of rape that followed in its military’s wake in France by scapegoating Black soldiers. Roberts argues that although evidence suggests that white GIs were as likely, if not more, to engage in rape as Black personnel, Blacks were punished more severely and more often than whites. The court martial system was plagued with racism, and “because many white officers fell prey to prejudices about rape and African Americans, they were less likely to investigate the credibility of” witnesses.</w:t>
      </w:r>
      <w:r w:rsidDel="00000000" w:rsidR="00000000" w:rsidRPr="00000000">
        <w:rPr>
          <w:rFonts w:ascii="Times New Roman" w:cs="Times New Roman" w:eastAsia="Times New Roman" w:hAnsi="Times New Roman"/>
          <w:sz w:val="24"/>
          <w:szCs w:val="24"/>
          <w:vertAlign w:val="superscript"/>
        </w:rPr>
        <w:footnoteReference w:customMarkFollows="0" w:id="26"/>
      </w:r>
      <w:r w:rsidDel="00000000" w:rsidR="00000000" w:rsidRPr="00000000">
        <w:rPr>
          <w:rFonts w:ascii="Times New Roman" w:cs="Times New Roman" w:eastAsia="Times New Roman" w:hAnsi="Times New Roman"/>
          <w:sz w:val="24"/>
          <w:szCs w:val="24"/>
          <w:rtl w:val="0"/>
        </w:rPr>
        <w:t xml:space="preserve"> The military also used flawed statistics based on “its own record of injustice to construct rape as a </w:t>
      </w:r>
      <w:r w:rsidDel="00000000" w:rsidR="00000000" w:rsidRPr="00000000">
        <w:rPr>
          <w:rFonts w:ascii="Times New Roman" w:cs="Times New Roman" w:eastAsia="Times New Roman" w:hAnsi="Times New Roman"/>
          <w:i w:val="1"/>
          <w:sz w:val="24"/>
          <w:szCs w:val="24"/>
          <w:rtl w:val="0"/>
        </w:rPr>
        <w:t xml:space="preserve">fact </w:t>
      </w:r>
      <w:r w:rsidDel="00000000" w:rsidR="00000000" w:rsidRPr="00000000">
        <w:rPr>
          <w:rFonts w:ascii="Times New Roman" w:cs="Times New Roman" w:eastAsia="Times New Roman" w:hAnsi="Times New Roman"/>
          <w:sz w:val="24"/>
          <w:szCs w:val="24"/>
          <w:rtl w:val="0"/>
        </w:rPr>
        <w:t xml:space="preserve">of racial depravity.”</w:t>
      </w:r>
      <w:r w:rsidDel="00000000" w:rsidR="00000000" w:rsidRPr="00000000">
        <w:rPr>
          <w:rFonts w:ascii="Times New Roman" w:cs="Times New Roman" w:eastAsia="Times New Roman" w:hAnsi="Times New Roman"/>
          <w:sz w:val="24"/>
          <w:szCs w:val="24"/>
          <w:vertAlign w:val="superscript"/>
        </w:rPr>
        <w:footnoteReference w:customMarkFollows="0" w:id="27"/>
      </w:r>
      <w:r w:rsidDel="00000000" w:rsidR="00000000" w:rsidRPr="00000000">
        <w:rPr>
          <w:rFonts w:ascii="Times New Roman" w:cs="Times New Roman" w:eastAsia="Times New Roman" w:hAnsi="Times New Roman"/>
          <w:sz w:val="24"/>
          <w:szCs w:val="24"/>
          <w:rtl w:val="0"/>
        </w:rPr>
        <w:t xml:space="preserve"> Thus, a vicious cycle developed. Bad data was used to reinforce racist stereotypes of Black men as sexual predators, which made white officers more likely to convict them even without evidence, adding more bad data and repeating the process. White officers began to believe that Blackness made men more likely to commit rape, and that only the fear of death could convince Black soldiers to deny their supposed nature. This necessitated “the use of a noose to ‘educate’” them, hardly a symbol of racial unity.</w:t>
      </w:r>
      <w:r w:rsidDel="00000000" w:rsidR="00000000" w:rsidRPr="00000000">
        <w:rPr>
          <w:rFonts w:ascii="Times New Roman" w:cs="Times New Roman" w:eastAsia="Times New Roman" w:hAnsi="Times New Roman"/>
          <w:sz w:val="24"/>
          <w:szCs w:val="24"/>
          <w:vertAlign w:val="superscript"/>
        </w:rPr>
        <w:footnoteReference w:customMarkFollows="0" w:id="28"/>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0">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Historians have also started to devote more attention to the racism against Asians that was commonplace in World War II. John Dower points out that American fears of a “Yellow Peril” had been directed towards Asians since the late 1800s, especially towards the Japanese after mass migration to the United States began in 1882.</w:t>
      </w:r>
      <w:r w:rsidDel="00000000" w:rsidR="00000000" w:rsidRPr="00000000">
        <w:rPr>
          <w:rFonts w:ascii="Times New Roman" w:cs="Times New Roman" w:eastAsia="Times New Roman" w:hAnsi="Times New Roman"/>
          <w:sz w:val="24"/>
          <w:szCs w:val="24"/>
          <w:vertAlign w:val="superscript"/>
        </w:rPr>
        <w:footnoteReference w:customMarkFollows="0" w:id="29"/>
      </w:r>
      <w:r w:rsidDel="00000000" w:rsidR="00000000" w:rsidRPr="00000000">
        <w:rPr>
          <w:rFonts w:ascii="Times New Roman" w:cs="Times New Roman" w:eastAsia="Times New Roman" w:hAnsi="Times New Roman"/>
          <w:sz w:val="24"/>
          <w:szCs w:val="24"/>
          <w:rtl w:val="0"/>
        </w:rPr>
        <w:t xml:space="preserve"> Americans believed that Asians were fundamentally subhuman, but that they possessed superhuman qualities which made them capable of subjugating “superior” peoples, making them a threat to white supremacy. The Japanese had already achieved military victories over the Chinese and Russians by the beginning of World War II, and the attack on Pearl Harbor only reinforced Americans’ fear of the horde of Asiatic enemies who seemed to be at the gate. </w:t>
      </w:r>
    </w:p>
    <w:p w:rsidR="00000000" w:rsidDel="00000000" w:rsidP="00000000" w:rsidRDefault="00000000" w:rsidRPr="00000000" w14:paraId="00000011">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Racial prejudice against Asians also influenced how American historians during the Cold War viewed the Soviet army’s conduct. Nazi leaders like Joseph Goebbels refered to the Red Army as a “‘red horde,’ half Asiatic savages who threatened Europe’s way of life,” noting that “the infusion of Mongol blood” apparently caused them to act violently and rapaciously.</w:t>
      </w:r>
      <w:r w:rsidDel="00000000" w:rsidR="00000000" w:rsidRPr="00000000">
        <w:rPr>
          <w:rFonts w:ascii="Times New Roman" w:cs="Times New Roman" w:eastAsia="Times New Roman" w:hAnsi="Times New Roman"/>
          <w:sz w:val="24"/>
          <w:szCs w:val="24"/>
          <w:vertAlign w:val="superscript"/>
        </w:rPr>
        <w:footnoteReference w:customMarkFollows="0" w:id="30"/>
      </w:r>
      <w:r w:rsidDel="00000000" w:rsidR="00000000" w:rsidRPr="00000000">
        <w:rPr>
          <w:rFonts w:ascii="Times New Roman" w:cs="Times New Roman" w:eastAsia="Times New Roman" w:hAnsi="Times New Roman"/>
          <w:sz w:val="24"/>
          <w:szCs w:val="24"/>
          <w:rtl w:val="0"/>
        </w:rPr>
        <w:t xml:space="preserve"> In 1947, just two years after the end of World War II, “some of [the Third Reich’s] former officers’ racially based analyses of the Red Army were being dictated to members of the American intelligence services.”</w:t>
      </w:r>
      <w:r w:rsidDel="00000000" w:rsidR="00000000" w:rsidRPr="00000000">
        <w:rPr>
          <w:rFonts w:ascii="Times New Roman" w:cs="Times New Roman" w:eastAsia="Times New Roman" w:hAnsi="Times New Roman"/>
          <w:sz w:val="24"/>
          <w:szCs w:val="24"/>
          <w:vertAlign w:val="superscript"/>
        </w:rPr>
        <w:footnoteReference w:customMarkFollows="0" w:id="31"/>
      </w:r>
      <w:r w:rsidDel="00000000" w:rsidR="00000000" w:rsidRPr="00000000">
        <w:rPr>
          <w:rFonts w:ascii="Times New Roman" w:cs="Times New Roman" w:eastAsia="Times New Roman" w:hAnsi="Times New Roman"/>
          <w:sz w:val="24"/>
          <w:szCs w:val="24"/>
          <w:rtl w:val="0"/>
        </w:rPr>
        <w:t xml:space="preserve"> These former Nazis found in the Americans a receptive audience that held racist beliefs about Asians, deeply distrusted the Russians, and had been slowly, perhaps unknowingly, absorbing Nazi propaganda for several years at that point.</w:t>
      </w:r>
    </w:p>
    <w:p w:rsidR="00000000" w:rsidDel="00000000" w:rsidP="00000000" w:rsidRDefault="00000000" w:rsidRPr="00000000" w14:paraId="00000012">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Ironically, racism towards Asians was occasionally applied to Germans as well. In general, Americans directed far less racial fury against the white Germans than they did towards the Japanese. However, these bigoted beliefs manifested themselves when Americans orientalized the Germans as “Huns.” This slur, which became common during World War I and carried over to the Second World War, allowed Americans to strip the Germans of their whiteness and associate them with Asian savagery.</w:t>
      </w:r>
      <w:r w:rsidDel="00000000" w:rsidR="00000000" w:rsidRPr="00000000">
        <w:rPr>
          <w:rFonts w:ascii="Times New Roman" w:cs="Times New Roman" w:eastAsia="Times New Roman" w:hAnsi="Times New Roman"/>
          <w:sz w:val="24"/>
          <w:szCs w:val="24"/>
          <w:vertAlign w:val="superscript"/>
        </w:rPr>
        <w:footnoteReference w:customMarkFollows="0" w:id="32"/>
      </w:r>
      <w:r w:rsidDel="00000000" w:rsidR="00000000" w:rsidRPr="00000000">
        <w:rPr>
          <w:rFonts w:ascii="Times New Roman" w:cs="Times New Roman" w:eastAsia="Times New Roman" w:hAnsi="Times New Roman"/>
          <w:sz w:val="24"/>
          <w:szCs w:val="24"/>
          <w:rtl w:val="0"/>
        </w:rPr>
        <w:t xml:space="preserve"> This area of research has seen little academic attention, but would certainly add to the growing historiography of American racial ideology during World War II.</w:t>
      </w:r>
    </w:p>
    <w:p w:rsidR="00000000" w:rsidDel="00000000" w:rsidP="00000000" w:rsidRDefault="00000000" w:rsidRPr="00000000" w14:paraId="00000013">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end of the Cold War heralded a historiographical revolution that has transformed scholars’ understanding of not just the past, but the present as well. As geopolitical pressures on historians began to ease, topics that had previously been kept out of the zeitgeist for fear of detracting from American morale have finally gained the attention they deserve. Understanding the complexities of race relations during World War II and moving away from a mythicized past leads to uncomfortable conclusions about how deep racism runs in American society, but it also allows Americans to move beyond a mythical past towards a better future. Going beyond simple narratives of appeasement and collaboration leads to more compassion and understanding for other nations, and that belligerence is not the only geopolitical strategy available. And yet, more scholarship remains to be done on sex in the Pacific theater, the Japanese surrender, Allied war crimes in Europe, and the Nazi genocide of the Roma people, to name a few. Historians have made enormous strides since the end of the Cold War, but in many ways are still only beginning to explore the Second World War in depth.</w:t>
      </w:r>
    </w:p>
    <w:p w:rsidR="00000000" w:rsidDel="00000000" w:rsidP="00000000" w:rsidRDefault="00000000" w:rsidRPr="00000000" w14:paraId="00000014">
      <w:pPr>
        <w:spacing w:line="480" w:lineRule="auto"/>
        <w:ind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5">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6">
      <w:pPr>
        <w:spacing w:line="480" w:lineRule="auto"/>
        <w:ind w:left="0" w:firstLine="0"/>
        <w:jc w:val="center"/>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u w:val="single"/>
          <w:rtl w:val="0"/>
        </w:rPr>
        <w:t xml:space="preserve">Bibliography</w:t>
      </w:r>
    </w:p>
    <w:p w:rsidR="00000000" w:rsidDel="00000000" w:rsidP="00000000" w:rsidRDefault="00000000" w:rsidRPr="00000000" w14:paraId="00000017">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Journal Articles</w:t>
      </w:r>
    </w:p>
    <w:p w:rsidR="00000000" w:rsidDel="00000000" w:rsidP="00000000" w:rsidRDefault="00000000" w:rsidRPr="00000000" w14:paraId="00000018">
      <w:pPr>
        <w:numPr>
          <w:ilvl w:val="0"/>
          <w:numId w:val="3"/>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333333"/>
          <w:sz w:val="21"/>
          <w:szCs w:val="21"/>
          <w:highlight w:val="white"/>
          <w:rtl w:val="0"/>
        </w:rPr>
        <w:t xml:space="preserve">Deutsch, Harold C. "Strange Interlude: The Soviet-Nazi Liaison of 1939-1941." </w:t>
      </w:r>
      <w:r w:rsidDel="00000000" w:rsidR="00000000" w:rsidRPr="00000000">
        <w:rPr>
          <w:rFonts w:ascii="Times New Roman" w:cs="Times New Roman" w:eastAsia="Times New Roman" w:hAnsi="Times New Roman"/>
          <w:i w:val="1"/>
          <w:color w:val="333333"/>
          <w:sz w:val="21"/>
          <w:szCs w:val="21"/>
          <w:highlight w:val="white"/>
          <w:rtl w:val="0"/>
        </w:rPr>
        <w:t xml:space="preserve">The Historian</w:t>
      </w:r>
      <w:r w:rsidDel="00000000" w:rsidR="00000000" w:rsidRPr="00000000">
        <w:rPr>
          <w:rFonts w:ascii="Times New Roman" w:cs="Times New Roman" w:eastAsia="Times New Roman" w:hAnsi="Times New Roman"/>
          <w:color w:val="333333"/>
          <w:sz w:val="21"/>
          <w:szCs w:val="21"/>
          <w:highlight w:val="white"/>
          <w:rtl w:val="0"/>
        </w:rPr>
        <w:t xml:space="preserve"> 9, no. 2 (1947): 107-36. www.jstor.org/stable/24436005.</w:t>
      </w:r>
    </w:p>
    <w:p w:rsidR="00000000" w:rsidDel="00000000" w:rsidP="00000000" w:rsidRDefault="00000000" w:rsidRPr="00000000" w14:paraId="00000019">
      <w:pPr>
        <w:numPr>
          <w:ilvl w:val="0"/>
          <w:numId w:val="3"/>
        </w:numPr>
        <w:spacing w:line="240" w:lineRule="auto"/>
        <w:ind w:left="720" w:hanging="360"/>
        <w:rPr>
          <w:rFonts w:ascii="Times New Roman" w:cs="Times New Roman" w:eastAsia="Times New Roman" w:hAnsi="Times New Roman"/>
          <w:color w:val="333333"/>
          <w:sz w:val="21"/>
          <w:szCs w:val="21"/>
          <w:highlight w:val="white"/>
        </w:rPr>
      </w:pPr>
      <w:r w:rsidDel="00000000" w:rsidR="00000000" w:rsidRPr="00000000">
        <w:rPr>
          <w:rFonts w:ascii="Times New Roman" w:cs="Times New Roman" w:eastAsia="Times New Roman" w:hAnsi="Times New Roman"/>
          <w:color w:val="333333"/>
          <w:sz w:val="21"/>
          <w:szCs w:val="21"/>
          <w:highlight w:val="white"/>
          <w:rtl w:val="0"/>
        </w:rPr>
        <w:t xml:space="preserve">Gorodetsky, Gabriel. "The Impact of the Ribbentrop-Molotov Pact on the Course of Soviet Foreign Policy." </w:t>
      </w:r>
      <w:r w:rsidDel="00000000" w:rsidR="00000000" w:rsidRPr="00000000">
        <w:rPr>
          <w:rFonts w:ascii="Times New Roman" w:cs="Times New Roman" w:eastAsia="Times New Roman" w:hAnsi="Times New Roman"/>
          <w:i w:val="1"/>
          <w:color w:val="333333"/>
          <w:sz w:val="21"/>
          <w:szCs w:val="21"/>
          <w:highlight w:val="white"/>
          <w:rtl w:val="0"/>
        </w:rPr>
        <w:t xml:space="preserve">Cahiers Du Monde Russe Et Soviétique</w:t>
      </w:r>
      <w:r w:rsidDel="00000000" w:rsidR="00000000" w:rsidRPr="00000000">
        <w:rPr>
          <w:rFonts w:ascii="Times New Roman" w:cs="Times New Roman" w:eastAsia="Times New Roman" w:hAnsi="Times New Roman"/>
          <w:color w:val="333333"/>
          <w:sz w:val="21"/>
          <w:szCs w:val="21"/>
          <w:highlight w:val="white"/>
          <w:rtl w:val="0"/>
        </w:rPr>
        <w:t xml:space="preserve"> 31, no. 1 (1990): 27-41. www.jstor.org/stable/20170697.</w:t>
      </w:r>
    </w:p>
    <w:p w:rsidR="00000000" w:rsidDel="00000000" w:rsidP="00000000" w:rsidRDefault="00000000" w:rsidRPr="00000000" w14:paraId="0000001A">
      <w:pPr>
        <w:numPr>
          <w:ilvl w:val="0"/>
          <w:numId w:val="3"/>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333333"/>
          <w:sz w:val="21"/>
          <w:szCs w:val="21"/>
          <w:highlight w:val="white"/>
          <w:rtl w:val="0"/>
        </w:rPr>
        <w:t xml:space="preserve">Record, Jeffrey. Report. Strategic Studies Institute, US Army War College, 2005. www.jstor.org/stable/resrep11202.</w:t>
      </w:r>
    </w:p>
    <w:p w:rsidR="00000000" w:rsidDel="00000000" w:rsidP="00000000" w:rsidRDefault="00000000" w:rsidRPr="00000000" w14:paraId="0000001B">
      <w:pPr>
        <w:numPr>
          <w:ilvl w:val="0"/>
          <w:numId w:val="3"/>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333333"/>
          <w:sz w:val="21"/>
          <w:szCs w:val="21"/>
          <w:highlight w:val="white"/>
          <w:rtl w:val="0"/>
        </w:rPr>
        <w:t xml:space="preserve">Ripsman, Norrin M., and Jack S. Levy. "Wishful Thinking or Buying Time? The Logic of British Appeasement in the 1930s." </w:t>
      </w:r>
      <w:r w:rsidDel="00000000" w:rsidR="00000000" w:rsidRPr="00000000">
        <w:rPr>
          <w:rFonts w:ascii="Times New Roman" w:cs="Times New Roman" w:eastAsia="Times New Roman" w:hAnsi="Times New Roman"/>
          <w:i w:val="1"/>
          <w:color w:val="333333"/>
          <w:sz w:val="21"/>
          <w:szCs w:val="21"/>
          <w:highlight w:val="white"/>
          <w:rtl w:val="0"/>
        </w:rPr>
        <w:t xml:space="preserve">International Security</w:t>
      </w:r>
      <w:r w:rsidDel="00000000" w:rsidR="00000000" w:rsidRPr="00000000">
        <w:rPr>
          <w:rFonts w:ascii="Times New Roman" w:cs="Times New Roman" w:eastAsia="Times New Roman" w:hAnsi="Times New Roman"/>
          <w:color w:val="333333"/>
          <w:sz w:val="21"/>
          <w:szCs w:val="21"/>
          <w:highlight w:val="white"/>
          <w:rtl w:val="0"/>
        </w:rPr>
        <w:t xml:space="preserve"> 33, no. 2 (2008): 148-81. www.jstor.org/stable/40207135.</w:t>
      </w:r>
    </w:p>
    <w:p w:rsidR="00000000" w:rsidDel="00000000" w:rsidP="00000000" w:rsidRDefault="00000000" w:rsidRPr="00000000" w14:paraId="0000001C">
      <w:pPr>
        <w:numPr>
          <w:ilvl w:val="0"/>
          <w:numId w:val="3"/>
        </w:numPr>
        <w:spacing w:line="240" w:lineRule="auto"/>
        <w:ind w:left="720" w:hanging="360"/>
        <w:rPr>
          <w:rFonts w:ascii="Times New Roman" w:cs="Times New Roman" w:eastAsia="Times New Roman" w:hAnsi="Times New Roman"/>
          <w:color w:val="333333"/>
          <w:sz w:val="21"/>
          <w:szCs w:val="21"/>
          <w:highlight w:val="white"/>
        </w:rPr>
      </w:pPr>
      <w:r w:rsidDel="00000000" w:rsidR="00000000" w:rsidRPr="00000000">
        <w:rPr>
          <w:rFonts w:ascii="Times New Roman" w:cs="Times New Roman" w:eastAsia="Times New Roman" w:hAnsi="Times New Roman"/>
          <w:color w:val="333333"/>
          <w:sz w:val="21"/>
          <w:szCs w:val="21"/>
          <w:highlight w:val="white"/>
          <w:rtl w:val="0"/>
        </w:rPr>
        <w:t xml:space="preserve">Roberts, Geoffrey. "The Soviet Decision for a Pact with Nazi Germany." </w:t>
      </w:r>
      <w:r w:rsidDel="00000000" w:rsidR="00000000" w:rsidRPr="00000000">
        <w:rPr>
          <w:rFonts w:ascii="Times New Roman" w:cs="Times New Roman" w:eastAsia="Times New Roman" w:hAnsi="Times New Roman"/>
          <w:i w:val="1"/>
          <w:color w:val="333333"/>
          <w:sz w:val="21"/>
          <w:szCs w:val="21"/>
          <w:highlight w:val="white"/>
          <w:rtl w:val="0"/>
        </w:rPr>
        <w:t xml:space="preserve">Soviet Studies</w:t>
      </w:r>
      <w:r w:rsidDel="00000000" w:rsidR="00000000" w:rsidRPr="00000000">
        <w:rPr>
          <w:rFonts w:ascii="Times New Roman" w:cs="Times New Roman" w:eastAsia="Times New Roman" w:hAnsi="Times New Roman"/>
          <w:color w:val="333333"/>
          <w:sz w:val="21"/>
          <w:szCs w:val="21"/>
          <w:highlight w:val="white"/>
          <w:rtl w:val="0"/>
        </w:rPr>
        <w:t xml:space="preserve"> 44, no. 1 (1992): 57-78. www.jstor.org/stable/152247.</w:t>
      </w:r>
    </w:p>
    <w:p w:rsidR="00000000" w:rsidDel="00000000" w:rsidP="00000000" w:rsidRDefault="00000000" w:rsidRPr="00000000" w14:paraId="0000001D">
      <w:pPr>
        <w:spacing w:line="240" w:lineRule="auto"/>
        <w:ind w:left="0" w:firstLine="0"/>
        <w:rPr>
          <w:rFonts w:ascii="Times New Roman" w:cs="Times New Roman" w:eastAsia="Times New Roman" w:hAnsi="Times New Roman"/>
          <w:color w:val="333333"/>
          <w:sz w:val="21"/>
          <w:szCs w:val="21"/>
          <w:highlight w:val="white"/>
        </w:rPr>
      </w:pPr>
      <w:r w:rsidDel="00000000" w:rsidR="00000000" w:rsidRPr="00000000">
        <w:rPr>
          <w:rtl w:val="0"/>
        </w:rPr>
      </w:r>
    </w:p>
    <w:p w:rsidR="00000000" w:rsidDel="00000000" w:rsidP="00000000" w:rsidRDefault="00000000" w:rsidRPr="00000000" w14:paraId="0000001E">
      <w:pPr>
        <w:spacing w:line="240" w:lineRule="auto"/>
        <w:ind w:left="0" w:firstLine="0"/>
        <w:rPr>
          <w:rFonts w:ascii="Times New Roman" w:cs="Times New Roman" w:eastAsia="Times New Roman" w:hAnsi="Times New Roman"/>
          <w:color w:val="333333"/>
          <w:sz w:val="24"/>
          <w:szCs w:val="24"/>
          <w:highlight w:val="white"/>
        </w:rPr>
      </w:pPr>
      <w:r w:rsidDel="00000000" w:rsidR="00000000" w:rsidRPr="00000000">
        <w:rPr>
          <w:rFonts w:ascii="Times New Roman" w:cs="Times New Roman" w:eastAsia="Times New Roman" w:hAnsi="Times New Roman"/>
          <w:color w:val="333333"/>
          <w:sz w:val="24"/>
          <w:szCs w:val="24"/>
          <w:highlight w:val="white"/>
          <w:rtl w:val="0"/>
        </w:rPr>
        <w:t xml:space="preserve">News Article</w:t>
      </w:r>
    </w:p>
    <w:p w:rsidR="00000000" w:rsidDel="00000000" w:rsidP="00000000" w:rsidRDefault="00000000" w:rsidRPr="00000000" w14:paraId="0000001F">
      <w:pPr>
        <w:spacing w:line="240" w:lineRule="auto"/>
        <w:ind w:left="0" w:firstLine="0"/>
        <w:rPr>
          <w:rFonts w:ascii="Times New Roman" w:cs="Times New Roman" w:eastAsia="Times New Roman" w:hAnsi="Times New Roman"/>
          <w:color w:val="333333"/>
          <w:sz w:val="24"/>
          <w:szCs w:val="24"/>
          <w:highlight w:val="white"/>
        </w:rPr>
      </w:pPr>
      <w:r w:rsidDel="00000000" w:rsidR="00000000" w:rsidRPr="00000000">
        <w:rPr>
          <w:rtl w:val="0"/>
        </w:rPr>
      </w:r>
    </w:p>
    <w:p w:rsidR="00000000" w:rsidDel="00000000" w:rsidP="00000000" w:rsidRDefault="00000000" w:rsidRPr="00000000" w14:paraId="00000020">
      <w:pPr>
        <w:numPr>
          <w:ilvl w:val="0"/>
          <w:numId w:val="2"/>
        </w:numPr>
        <w:spacing w:line="240" w:lineRule="auto"/>
        <w:ind w:left="720" w:hanging="360"/>
        <w:rPr>
          <w:rFonts w:ascii="Times New Roman" w:cs="Times New Roman" w:eastAsia="Times New Roman" w:hAnsi="Times New Roman"/>
          <w:color w:val="333333"/>
          <w:sz w:val="21"/>
          <w:szCs w:val="21"/>
          <w:highlight w:val="white"/>
          <w:u w:val="none"/>
        </w:rPr>
      </w:pPr>
      <w:r w:rsidDel="00000000" w:rsidR="00000000" w:rsidRPr="00000000">
        <w:rPr>
          <w:rFonts w:ascii="Times New Roman" w:cs="Times New Roman" w:eastAsia="Times New Roman" w:hAnsi="Times New Roman"/>
          <w:color w:val="333333"/>
          <w:sz w:val="21"/>
          <w:szCs w:val="21"/>
          <w:highlight w:val="white"/>
          <w:rtl w:val="0"/>
        </w:rPr>
        <w:t xml:space="preserve">Waterfield, Bruno. “The city that turned Germans into 'Huns' marks 100 years since it was set ablaze,” The Telegraph, August 25, 2014, https://www.telegraph.co.uk/news/worldnews/europe/belgium/11053962/The-city-that-turned-Germans-into-Huns-marks-100-years-since-it-was-set-ablaze.html</w:t>
      </w:r>
    </w:p>
    <w:p w:rsidR="00000000" w:rsidDel="00000000" w:rsidP="00000000" w:rsidRDefault="00000000" w:rsidRPr="00000000" w14:paraId="00000021">
      <w:pPr>
        <w:spacing w:line="240" w:lineRule="auto"/>
        <w:ind w:left="0" w:firstLine="0"/>
        <w:rPr>
          <w:rFonts w:ascii="Times New Roman" w:cs="Times New Roman" w:eastAsia="Times New Roman" w:hAnsi="Times New Roman"/>
          <w:color w:val="333333"/>
          <w:sz w:val="21"/>
          <w:szCs w:val="21"/>
          <w:highlight w:val="white"/>
        </w:rPr>
      </w:pPr>
      <w:r w:rsidDel="00000000" w:rsidR="00000000" w:rsidRPr="00000000">
        <w:rPr>
          <w:rtl w:val="0"/>
        </w:rPr>
      </w:r>
    </w:p>
    <w:p w:rsidR="00000000" w:rsidDel="00000000" w:rsidP="00000000" w:rsidRDefault="00000000" w:rsidRPr="00000000" w14:paraId="00000022">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Books</w:t>
      </w:r>
    </w:p>
    <w:p w:rsidR="00000000" w:rsidDel="00000000" w:rsidP="00000000" w:rsidRDefault="00000000" w:rsidRPr="00000000" w14:paraId="00000023">
      <w:pPr>
        <w:numPr>
          <w:ilvl w:val="0"/>
          <w:numId w:val="1"/>
        </w:numPr>
        <w:spacing w:line="240" w:lineRule="auto"/>
        <w:ind w:left="720" w:hanging="360"/>
        <w:rPr>
          <w:rFonts w:ascii="Times New Roman" w:cs="Times New Roman" w:eastAsia="Times New Roman" w:hAnsi="Times New Roman"/>
          <w:sz w:val="21"/>
          <w:szCs w:val="21"/>
        </w:rPr>
      </w:pPr>
      <w:r w:rsidDel="00000000" w:rsidR="00000000" w:rsidRPr="00000000">
        <w:rPr>
          <w:rFonts w:ascii="Times New Roman" w:cs="Times New Roman" w:eastAsia="Times New Roman" w:hAnsi="Times New Roman"/>
          <w:sz w:val="21"/>
          <w:szCs w:val="21"/>
          <w:rtl w:val="0"/>
        </w:rPr>
        <w:t xml:space="preserve">Adams, Michael C. C. </w:t>
      </w:r>
      <w:r w:rsidDel="00000000" w:rsidR="00000000" w:rsidRPr="00000000">
        <w:rPr>
          <w:rFonts w:ascii="Times New Roman" w:cs="Times New Roman" w:eastAsia="Times New Roman" w:hAnsi="Times New Roman"/>
          <w:i w:val="1"/>
          <w:sz w:val="21"/>
          <w:szCs w:val="21"/>
          <w:rtl w:val="0"/>
        </w:rPr>
        <w:t xml:space="preserve">The Best War Ever. </w:t>
      </w:r>
      <w:r w:rsidDel="00000000" w:rsidR="00000000" w:rsidRPr="00000000">
        <w:rPr>
          <w:rFonts w:ascii="Times New Roman" w:cs="Times New Roman" w:eastAsia="Times New Roman" w:hAnsi="Times New Roman"/>
          <w:sz w:val="21"/>
          <w:szCs w:val="21"/>
          <w:rtl w:val="0"/>
        </w:rPr>
        <w:t xml:space="preserve">Baltimore: Johns Hopkins University Press, 2015.</w:t>
      </w:r>
    </w:p>
    <w:p w:rsidR="00000000" w:rsidDel="00000000" w:rsidP="00000000" w:rsidRDefault="00000000" w:rsidRPr="00000000" w14:paraId="00000024">
      <w:pPr>
        <w:numPr>
          <w:ilvl w:val="0"/>
          <w:numId w:val="1"/>
        </w:numPr>
        <w:spacing w:line="240" w:lineRule="auto"/>
        <w:ind w:left="720" w:hanging="360"/>
        <w:rPr>
          <w:rFonts w:ascii="Times New Roman" w:cs="Times New Roman" w:eastAsia="Times New Roman" w:hAnsi="Times New Roman"/>
          <w:sz w:val="21"/>
          <w:szCs w:val="21"/>
        </w:rPr>
      </w:pPr>
      <w:r w:rsidDel="00000000" w:rsidR="00000000" w:rsidRPr="00000000">
        <w:rPr>
          <w:rFonts w:ascii="Times New Roman" w:cs="Times New Roman" w:eastAsia="Times New Roman" w:hAnsi="Times New Roman"/>
          <w:sz w:val="21"/>
          <w:szCs w:val="21"/>
          <w:rtl w:val="0"/>
        </w:rPr>
        <w:t xml:space="preserve">Collingham, Lizzie. </w:t>
      </w:r>
      <w:r w:rsidDel="00000000" w:rsidR="00000000" w:rsidRPr="00000000">
        <w:rPr>
          <w:rFonts w:ascii="Times New Roman" w:cs="Times New Roman" w:eastAsia="Times New Roman" w:hAnsi="Times New Roman"/>
          <w:i w:val="1"/>
          <w:sz w:val="21"/>
          <w:szCs w:val="21"/>
          <w:rtl w:val="0"/>
        </w:rPr>
        <w:t xml:space="preserve">The Taste of War</w:t>
      </w:r>
      <w:r w:rsidDel="00000000" w:rsidR="00000000" w:rsidRPr="00000000">
        <w:rPr>
          <w:rFonts w:ascii="Times New Roman" w:cs="Times New Roman" w:eastAsia="Times New Roman" w:hAnsi="Times New Roman"/>
          <w:sz w:val="21"/>
          <w:szCs w:val="21"/>
          <w:rtl w:val="0"/>
        </w:rPr>
        <w:t xml:space="preserve">. New York: The Penguin Press, 2012.</w:t>
      </w:r>
    </w:p>
    <w:p w:rsidR="00000000" w:rsidDel="00000000" w:rsidP="00000000" w:rsidRDefault="00000000" w:rsidRPr="00000000" w14:paraId="00000025">
      <w:pPr>
        <w:numPr>
          <w:ilvl w:val="0"/>
          <w:numId w:val="1"/>
        </w:numPr>
        <w:spacing w:line="240" w:lineRule="auto"/>
        <w:ind w:left="720" w:hanging="360"/>
        <w:rPr>
          <w:rFonts w:ascii="Times New Roman" w:cs="Times New Roman" w:eastAsia="Times New Roman" w:hAnsi="Times New Roman"/>
          <w:sz w:val="21"/>
          <w:szCs w:val="21"/>
          <w:u w:val="none"/>
        </w:rPr>
      </w:pPr>
      <w:r w:rsidDel="00000000" w:rsidR="00000000" w:rsidRPr="00000000">
        <w:rPr>
          <w:rFonts w:ascii="Times New Roman" w:cs="Times New Roman" w:eastAsia="Times New Roman" w:hAnsi="Times New Roman"/>
          <w:sz w:val="21"/>
          <w:szCs w:val="21"/>
          <w:rtl w:val="0"/>
        </w:rPr>
        <w:t xml:space="preserve">Dower, John. </w:t>
      </w:r>
      <w:r w:rsidDel="00000000" w:rsidR="00000000" w:rsidRPr="00000000">
        <w:rPr>
          <w:rFonts w:ascii="Times New Roman" w:cs="Times New Roman" w:eastAsia="Times New Roman" w:hAnsi="Times New Roman"/>
          <w:i w:val="1"/>
          <w:sz w:val="21"/>
          <w:szCs w:val="21"/>
          <w:rtl w:val="0"/>
        </w:rPr>
        <w:t xml:space="preserve">War Without Mercy</w:t>
      </w:r>
      <w:r w:rsidDel="00000000" w:rsidR="00000000" w:rsidRPr="00000000">
        <w:rPr>
          <w:rFonts w:ascii="Times New Roman" w:cs="Times New Roman" w:eastAsia="Times New Roman" w:hAnsi="Times New Roman"/>
          <w:sz w:val="21"/>
          <w:szCs w:val="21"/>
          <w:rtl w:val="0"/>
        </w:rPr>
        <w:t xml:space="preserve">. New York: Pantheon Books, 1993.</w:t>
      </w:r>
    </w:p>
    <w:p w:rsidR="00000000" w:rsidDel="00000000" w:rsidP="00000000" w:rsidRDefault="00000000" w:rsidRPr="00000000" w14:paraId="00000026">
      <w:pPr>
        <w:numPr>
          <w:ilvl w:val="0"/>
          <w:numId w:val="1"/>
        </w:numPr>
        <w:spacing w:line="240" w:lineRule="auto"/>
        <w:ind w:left="720" w:hanging="360"/>
        <w:rPr>
          <w:rFonts w:ascii="Times New Roman" w:cs="Times New Roman" w:eastAsia="Times New Roman" w:hAnsi="Times New Roman"/>
          <w:sz w:val="21"/>
          <w:szCs w:val="21"/>
          <w:u w:val="none"/>
        </w:rPr>
      </w:pPr>
      <w:r w:rsidDel="00000000" w:rsidR="00000000" w:rsidRPr="00000000">
        <w:rPr>
          <w:rFonts w:ascii="Times New Roman" w:cs="Times New Roman" w:eastAsia="Times New Roman" w:hAnsi="Times New Roman"/>
          <w:sz w:val="21"/>
          <w:szCs w:val="21"/>
          <w:rtl w:val="0"/>
        </w:rPr>
        <w:t xml:space="preserve">Merridale, Catherine. </w:t>
      </w:r>
      <w:r w:rsidDel="00000000" w:rsidR="00000000" w:rsidRPr="00000000">
        <w:rPr>
          <w:rFonts w:ascii="Times New Roman" w:cs="Times New Roman" w:eastAsia="Times New Roman" w:hAnsi="Times New Roman"/>
          <w:i w:val="1"/>
          <w:sz w:val="21"/>
          <w:szCs w:val="21"/>
          <w:rtl w:val="0"/>
        </w:rPr>
        <w:t xml:space="preserve">Ivan’s War.</w:t>
      </w:r>
      <w:r w:rsidDel="00000000" w:rsidR="00000000" w:rsidRPr="00000000">
        <w:rPr>
          <w:rFonts w:ascii="Times New Roman" w:cs="Times New Roman" w:eastAsia="Times New Roman" w:hAnsi="Times New Roman"/>
          <w:sz w:val="21"/>
          <w:szCs w:val="21"/>
          <w:rtl w:val="0"/>
        </w:rPr>
        <w:t xml:space="preserve"> New York: Metropolitan Books, 2006.</w:t>
      </w:r>
    </w:p>
    <w:p w:rsidR="00000000" w:rsidDel="00000000" w:rsidP="00000000" w:rsidRDefault="00000000" w:rsidRPr="00000000" w14:paraId="00000027">
      <w:pPr>
        <w:numPr>
          <w:ilvl w:val="0"/>
          <w:numId w:val="1"/>
        </w:numPr>
        <w:spacing w:line="240" w:lineRule="auto"/>
        <w:ind w:left="720" w:hanging="360"/>
        <w:rPr>
          <w:rFonts w:ascii="Times New Roman" w:cs="Times New Roman" w:eastAsia="Times New Roman" w:hAnsi="Times New Roman"/>
          <w:sz w:val="21"/>
          <w:szCs w:val="21"/>
          <w:u w:val="none"/>
        </w:rPr>
      </w:pPr>
      <w:r w:rsidDel="00000000" w:rsidR="00000000" w:rsidRPr="00000000">
        <w:rPr>
          <w:rFonts w:ascii="Times New Roman" w:cs="Times New Roman" w:eastAsia="Times New Roman" w:hAnsi="Times New Roman"/>
          <w:sz w:val="21"/>
          <w:szCs w:val="21"/>
          <w:rtl w:val="0"/>
        </w:rPr>
        <w:t xml:space="preserve">Roberts, Mary Louise. </w:t>
      </w:r>
      <w:r w:rsidDel="00000000" w:rsidR="00000000" w:rsidRPr="00000000">
        <w:rPr>
          <w:rFonts w:ascii="Times New Roman" w:cs="Times New Roman" w:eastAsia="Times New Roman" w:hAnsi="Times New Roman"/>
          <w:i w:val="1"/>
          <w:sz w:val="21"/>
          <w:szCs w:val="21"/>
          <w:rtl w:val="0"/>
        </w:rPr>
        <w:t xml:space="preserve">What Soldiers Do.</w:t>
      </w:r>
      <w:r w:rsidDel="00000000" w:rsidR="00000000" w:rsidRPr="00000000">
        <w:rPr>
          <w:rFonts w:ascii="Times New Roman" w:cs="Times New Roman" w:eastAsia="Times New Roman" w:hAnsi="Times New Roman"/>
          <w:sz w:val="21"/>
          <w:szCs w:val="21"/>
          <w:rtl w:val="0"/>
        </w:rPr>
        <w:t xml:space="preserve"> Chicago and London: The University of Chicago Press, 2013.</w:t>
      </w:r>
    </w:p>
    <w:p w:rsidR="00000000" w:rsidDel="00000000" w:rsidP="00000000" w:rsidRDefault="00000000" w:rsidRPr="00000000" w14:paraId="00000028">
      <w:pPr>
        <w:numPr>
          <w:ilvl w:val="0"/>
          <w:numId w:val="1"/>
        </w:numPr>
        <w:spacing w:line="240" w:lineRule="auto"/>
        <w:ind w:left="720" w:hanging="360"/>
        <w:rPr>
          <w:rFonts w:ascii="Times New Roman" w:cs="Times New Roman" w:eastAsia="Times New Roman" w:hAnsi="Times New Roman"/>
          <w:sz w:val="21"/>
          <w:szCs w:val="21"/>
        </w:rPr>
      </w:pPr>
      <w:r w:rsidDel="00000000" w:rsidR="00000000" w:rsidRPr="00000000">
        <w:rPr>
          <w:rFonts w:ascii="Times New Roman" w:cs="Times New Roman" w:eastAsia="Times New Roman" w:hAnsi="Times New Roman"/>
          <w:sz w:val="21"/>
          <w:szCs w:val="21"/>
          <w:rtl w:val="0"/>
        </w:rPr>
        <w:t xml:space="preserve">Waddington, Geoffrey T. "Ribbentrop and the Soviet Union, 1937–1941." In </w:t>
      </w:r>
      <w:r w:rsidDel="00000000" w:rsidR="00000000" w:rsidRPr="00000000">
        <w:rPr>
          <w:rFonts w:ascii="Times New Roman" w:cs="Times New Roman" w:eastAsia="Times New Roman" w:hAnsi="Times New Roman"/>
          <w:i w:val="1"/>
          <w:sz w:val="21"/>
          <w:szCs w:val="21"/>
          <w:rtl w:val="0"/>
        </w:rPr>
        <w:t xml:space="preserve">Barbarossa: The Axis and the Allies</w:t>
      </w:r>
      <w:r w:rsidDel="00000000" w:rsidR="00000000" w:rsidRPr="00000000">
        <w:rPr>
          <w:rFonts w:ascii="Times New Roman" w:cs="Times New Roman" w:eastAsia="Times New Roman" w:hAnsi="Times New Roman"/>
          <w:sz w:val="21"/>
          <w:szCs w:val="21"/>
          <w:rtl w:val="0"/>
        </w:rPr>
        <w:t xml:space="preserve">, edited by Erickson John and Dilks David. Edinburgh: Edinburgh University Press, 1994.</w:t>
      </w:r>
      <w:r w:rsidDel="00000000" w:rsidR="00000000" w:rsidRPr="00000000">
        <w:rPr>
          <w:rtl w:val="0"/>
        </w:rPr>
      </w:r>
    </w:p>
    <w:sectPr>
      <w:headerReference r:id="rId7" w:type="default"/>
      <w:footerReference r:id="rId8"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B">
    <w:pPr>
      <w:jc w:val="right"/>
      <w:rPr>
        <w:rFonts w:ascii="Times New Roman" w:cs="Times New Roman" w:eastAsia="Times New Roman" w:hAnsi="Times New Roman"/>
      </w:rPr>
    </w:pPr>
    <w:r w:rsidDel="00000000" w:rsidR="00000000" w:rsidRPr="00000000">
      <w:rPr>
        <w:rFonts w:ascii="Times New Roman" w:cs="Times New Roman" w:eastAsia="Times New Roman" w:hAnsi="Times New Roman"/>
      </w:rPr>
      <w:fldChar w:fldCharType="begin"/>
      <w:instrText xml:space="preserve">PAGE</w:instrText>
      <w:fldChar w:fldCharType="separate"/>
      <w:fldChar w:fldCharType="end"/>
    </w: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0">
    <w:p w:rsidR="00000000" w:rsidDel="00000000" w:rsidP="00000000" w:rsidRDefault="00000000" w:rsidRPr="00000000" w14:paraId="00000029">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Michael C. C. Adams, </w:t>
      </w:r>
      <w:r w:rsidDel="00000000" w:rsidR="00000000" w:rsidRPr="00000000">
        <w:rPr>
          <w:rFonts w:ascii="Times New Roman" w:cs="Times New Roman" w:eastAsia="Times New Roman" w:hAnsi="Times New Roman"/>
          <w:i w:val="1"/>
          <w:sz w:val="20"/>
          <w:szCs w:val="20"/>
          <w:rtl w:val="0"/>
        </w:rPr>
        <w:t xml:space="preserve">The Best War Ever</w:t>
      </w:r>
      <w:r w:rsidDel="00000000" w:rsidR="00000000" w:rsidRPr="00000000">
        <w:rPr>
          <w:rFonts w:ascii="Times New Roman" w:cs="Times New Roman" w:eastAsia="Times New Roman" w:hAnsi="Times New Roman"/>
          <w:sz w:val="20"/>
          <w:szCs w:val="20"/>
          <w:rtl w:val="0"/>
        </w:rPr>
        <w:t xml:space="preserve">. (Baltimore: Johns Hopkins University Press, 2015), xv</w:t>
      </w:r>
      <w:r w:rsidDel="00000000" w:rsidR="00000000" w:rsidRPr="00000000">
        <w:rPr>
          <w:rtl w:val="0"/>
        </w:rPr>
      </w:r>
    </w:p>
  </w:footnote>
  <w:footnote w:id="1">
    <w:p w:rsidR="00000000" w:rsidDel="00000000" w:rsidP="00000000" w:rsidRDefault="00000000" w:rsidRPr="00000000" w14:paraId="0000002A">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Ibid, 2</w:t>
      </w:r>
    </w:p>
  </w:footnote>
  <w:footnote w:id="2">
    <w:p w:rsidR="00000000" w:rsidDel="00000000" w:rsidP="00000000" w:rsidRDefault="00000000" w:rsidRPr="00000000" w14:paraId="0000002B">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Ibid.</w:t>
      </w:r>
    </w:p>
  </w:footnote>
  <w:footnote w:id="4">
    <w:p w:rsidR="00000000" w:rsidDel="00000000" w:rsidP="00000000" w:rsidRDefault="00000000" w:rsidRPr="00000000" w14:paraId="0000002C">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Lizzie Collingham, </w:t>
      </w:r>
      <w:r w:rsidDel="00000000" w:rsidR="00000000" w:rsidRPr="00000000">
        <w:rPr>
          <w:rFonts w:ascii="Times New Roman" w:cs="Times New Roman" w:eastAsia="Times New Roman" w:hAnsi="Times New Roman"/>
          <w:i w:val="1"/>
          <w:sz w:val="20"/>
          <w:szCs w:val="20"/>
          <w:rtl w:val="0"/>
        </w:rPr>
        <w:t xml:space="preserve">The Taste of War</w:t>
      </w:r>
      <w:r w:rsidDel="00000000" w:rsidR="00000000" w:rsidRPr="00000000">
        <w:rPr>
          <w:rFonts w:ascii="Times New Roman" w:cs="Times New Roman" w:eastAsia="Times New Roman" w:hAnsi="Times New Roman"/>
          <w:sz w:val="20"/>
          <w:szCs w:val="20"/>
          <w:rtl w:val="0"/>
        </w:rPr>
        <w:t xml:space="preserve">. (New York: The Penguin Press, 2012), 90</w:t>
      </w:r>
    </w:p>
  </w:footnote>
  <w:footnote w:id="6">
    <w:p w:rsidR="00000000" w:rsidDel="00000000" w:rsidP="00000000" w:rsidRDefault="00000000" w:rsidRPr="00000000" w14:paraId="0000002D">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Ibid, 91.</w:t>
      </w:r>
    </w:p>
  </w:footnote>
  <w:footnote w:id="5">
    <w:p w:rsidR="00000000" w:rsidDel="00000000" w:rsidP="00000000" w:rsidRDefault="00000000" w:rsidRPr="00000000" w14:paraId="0000002E">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Ibid, 103.</w:t>
      </w:r>
    </w:p>
  </w:footnote>
  <w:footnote w:id="7">
    <w:p w:rsidR="00000000" w:rsidDel="00000000" w:rsidP="00000000" w:rsidRDefault="00000000" w:rsidRPr="00000000" w14:paraId="0000002F">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Norrin M. Ripsman and Jack S. Levy. "Wishful Thinking or Buying Time? The Logic of British Appeasement in the 1930s." International Security 33, no. 2 (2008): 150. www.jstor.org/stable/40207135.</w:t>
      </w:r>
    </w:p>
  </w:footnote>
  <w:footnote w:id="8">
    <w:p w:rsidR="00000000" w:rsidDel="00000000" w:rsidP="00000000" w:rsidRDefault="00000000" w:rsidRPr="00000000" w14:paraId="00000030">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Ibid.</w:t>
      </w:r>
    </w:p>
  </w:footnote>
  <w:footnote w:id="10">
    <w:p w:rsidR="00000000" w:rsidDel="00000000" w:rsidP="00000000" w:rsidRDefault="00000000" w:rsidRPr="00000000" w14:paraId="00000031">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Ibid, 7.</w:t>
      </w:r>
    </w:p>
  </w:footnote>
  <w:footnote w:id="11">
    <w:p w:rsidR="00000000" w:rsidDel="00000000" w:rsidP="00000000" w:rsidRDefault="00000000" w:rsidRPr="00000000" w14:paraId="00000032">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Ibid.</w:t>
      </w:r>
      <w:r w:rsidDel="00000000" w:rsidR="00000000" w:rsidRPr="00000000">
        <w:rPr>
          <w:rtl w:val="0"/>
        </w:rPr>
      </w:r>
    </w:p>
  </w:footnote>
  <w:footnote w:id="9">
    <w:p w:rsidR="00000000" w:rsidDel="00000000" w:rsidP="00000000" w:rsidRDefault="00000000" w:rsidRPr="00000000" w14:paraId="00000033">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Record, Jeffrey. Report. Strategic Studies Institute, US Army War College (2005): 8. www.jstor.org/stable/resrep11202.</w:t>
      </w:r>
      <w:r w:rsidDel="00000000" w:rsidR="00000000" w:rsidRPr="00000000">
        <w:rPr>
          <w:rtl w:val="0"/>
        </w:rPr>
      </w:r>
    </w:p>
  </w:footnote>
  <w:footnote w:id="14">
    <w:p w:rsidR="00000000" w:rsidDel="00000000" w:rsidP="00000000" w:rsidRDefault="00000000" w:rsidRPr="00000000" w14:paraId="00000034">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Record, “Report.” 8.</w:t>
      </w:r>
    </w:p>
  </w:footnote>
  <w:footnote w:id="19">
    <w:p w:rsidR="00000000" w:rsidDel="00000000" w:rsidP="00000000" w:rsidRDefault="00000000" w:rsidRPr="00000000" w14:paraId="00000035">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Catherine Merridale, </w:t>
      </w:r>
      <w:r w:rsidDel="00000000" w:rsidR="00000000" w:rsidRPr="00000000">
        <w:rPr>
          <w:rFonts w:ascii="Times New Roman" w:cs="Times New Roman" w:eastAsia="Times New Roman" w:hAnsi="Times New Roman"/>
          <w:i w:val="1"/>
          <w:sz w:val="20"/>
          <w:szCs w:val="20"/>
          <w:rtl w:val="0"/>
        </w:rPr>
        <w:t xml:space="preserve">Ivan’s War</w:t>
      </w:r>
      <w:r w:rsidDel="00000000" w:rsidR="00000000" w:rsidRPr="00000000">
        <w:rPr>
          <w:rFonts w:ascii="Times New Roman" w:cs="Times New Roman" w:eastAsia="Times New Roman" w:hAnsi="Times New Roman"/>
          <w:sz w:val="20"/>
          <w:szCs w:val="20"/>
          <w:rtl w:val="0"/>
        </w:rPr>
        <w:t xml:space="preserve">. (New York: Metropolitan Books, 2006): 69.</w:t>
      </w:r>
    </w:p>
  </w:footnote>
  <w:footnote w:id="15">
    <w:p w:rsidR="00000000" w:rsidDel="00000000" w:rsidP="00000000" w:rsidRDefault="00000000" w:rsidRPr="00000000" w14:paraId="00000036">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Deutsch, Harold C. "Strange Interlude: The Soviet-Nazi Liaison of 1939-1941." The Historian 9, no. 2 (1947): 108. www.jstor.org/stable/24436005.</w:t>
      </w:r>
    </w:p>
  </w:footnote>
  <w:footnote w:id="18">
    <w:p w:rsidR="00000000" w:rsidDel="00000000" w:rsidP="00000000" w:rsidRDefault="00000000" w:rsidRPr="00000000" w14:paraId="00000037">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color w:val="333333"/>
          <w:sz w:val="20"/>
          <w:szCs w:val="20"/>
          <w:highlight w:val="white"/>
          <w:rtl w:val="0"/>
        </w:rPr>
        <w:t xml:space="preserve">Roberts, Geoffrey. "The Soviet Decision for a Pact with Nazi Germany." </w:t>
      </w:r>
      <w:r w:rsidDel="00000000" w:rsidR="00000000" w:rsidRPr="00000000">
        <w:rPr>
          <w:rFonts w:ascii="Times New Roman" w:cs="Times New Roman" w:eastAsia="Times New Roman" w:hAnsi="Times New Roman"/>
          <w:i w:val="1"/>
          <w:color w:val="333333"/>
          <w:sz w:val="20"/>
          <w:szCs w:val="20"/>
          <w:highlight w:val="white"/>
          <w:rtl w:val="0"/>
        </w:rPr>
        <w:t xml:space="preserve">Soviet Studies</w:t>
      </w:r>
      <w:r w:rsidDel="00000000" w:rsidR="00000000" w:rsidRPr="00000000">
        <w:rPr>
          <w:rFonts w:ascii="Times New Roman" w:cs="Times New Roman" w:eastAsia="Times New Roman" w:hAnsi="Times New Roman"/>
          <w:color w:val="333333"/>
          <w:sz w:val="20"/>
          <w:szCs w:val="20"/>
          <w:highlight w:val="white"/>
          <w:rtl w:val="0"/>
        </w:rPr>
        <w:t xml:space="preserve"> 44, no. 1 (1992): 61. www.jstor.org/stable/152247.</w:t>
      </w:r>
      <w:r w:rsidDel="00000000" w:rsidR="00000000" w:rsidRPr="00000000">
        <w:rPr>
          <w:rtl w:val="0"/>
        </w:rPr>
      </w:r>
    </w:p>
  </w:footnote>
  <w:footnote w:id="16">
    <w:p w:rsidR="00000000" w:rsidDel="00000000" w:rsidP="00000000" w:rsidRDefault="00000000" w:rsidRPr="00000000" w14:paraId="00000038">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Gorodetsky, Gabriel. "The Impact of the Ribbentrop-Molotov Pact on the Course of Soviet Foreign Policy." Cahiers Du Monde Russe Et Soviétique 31, no. 1 (1990): 27. www.jstor.org/stable/20170697.</w:t>
      </w:r>
    </w:p>
  </w:footnote>
  <w:footnote w:id="17">
    <w:p w:rsidR="00000000" w:rsidDel="00000000" w:rsidP="00000000" w:rsidRDefault="00000000" w:rsidRPr="00000000" w14:paraId="00000039">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Ibid, 27-28.</w:t>
      </w:r>
    </w:p>
  </w:footnote>
  <w:footnote w:id="20">
    <w:p w:rsidR="00000000" w:rsidDel="00000000" w:rsidP="00000000" w:rsidRDefault="00000000" w:rsidRPr="00000000" w14:paraId="0000003A">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Ibid.</w:t>
      </w:r>
    </w:p>
  </w:footnote>
  <w:footnote w:id="21">
    <w:p w:rsidR="00000000" w:rsidDel="00000000" w:rsidP="00000000" w:rsidRDefault="00000000" w:rsidRPr="00000000" w14:paraId="0000003B">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Ibid.</w:t>
      </w:r>
    </w:p>
  </w:footnote>
  <w:footnote w:id="23">
    <w:p w:rsidR="00000000" w:rsidDel="00000000" w:rsidP="00000000" w:rsidRDefault="00000000" w:rsidRPr="00000000" w14:paraId="0000003C">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Collingham, </w:t>
      </w:r>
      <w:r w:rsidDel="00000000" w:rsidR="00000000" w:rsidRPr="00000000">
        <w:rPr>
          <w:rFonts w:ascii="Times New Roman" w:cs="Times New Roman" w:eastAsia="Times New Roman" w:hAnsi="Times New Roman"/>
          <w:i w:val="1"/>
          <w:sz w:val="20"/>
          <w:szCs w:val="20"/>
          <w:rtl w:val="0"/>
        </w:rPr>
        <w:t xml:space="preserve">Taste of War</w:t>
      </w:r>
      <w:r w:rsidDel="00000000" w:rsidR="00000000" w:rsidRPr="00000000">
        <w:rPr>
          <w:rFonts w:ascii="Times New Roman" w:cs="Times New Roman" w:eastAsia="Times New Roman" w:hAnsi="Times New Roman"/>
          <w:sz w:val="20"/>
          <w:szCs w:val="20"/>
          <w:rtl w:val="0"/>
        </w:rPr>
        <w:t xml:space="preserve">. 220.</w:t>
      </w:r>
    </w:p>
  </w:footnote>
  <w:footnote w:id="24">
    <w:p w:rsidR="00000000" w:rsidDel="00000000" w:rsidP="00000000" w:rsidRDefault="00000000" w:rsidRPr="00000000" w14:paraId="0000003D">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Merridale, </w:t>
      </w:r>
      <w:r w:rsidDel="00000000" w:rsidR="00000000" w:rsidRPr="00000000">
        <w:rPr>
          <w:rFonts w:ascii="Times New Roman" w:cs="Times New Roman" w:eastAsia="Times New Roman" w:hAnsi="Times New Roman"/>
          <w:i w:val="1"/>
          <w:sz w:val="20"/>
          <w:szCs w:val="20"/>
          <w:rtl w:val="0"/>
        </w:rPr>
        <w:t xml:space="preserve">Ivan’s War</w:t>
      </w:r>
      <w:r w:rsidDel="00000000" w:rsidR="00000000" w:rsidRPr="00000000">
        <w:rPr>
          <w:rFonts w:ascii="Times New Roman" w:cs="Times New Roman" w:eastAsia="Times New Roman" w:hAnsi="Times New Roman"/>
          <w:sz w:val="20"/>
          <w:szCs w:val="20"/>
          <w:rtl w:val="0"/>
        </w:rPr>
        <w:t xml:space="preserve">. 93.</w:t>
      </w:r>
    </w:p>
  </w:footnote>
  <w:footnote w:id="3">
    <w:p w:rsidR="00000000" w:rsidDel="00000000" w:rsidP="00000000" w:rsidRDefault="00000000" w:rsidRPr="00000000" w14:paraId="0000003E">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Ibid, 37-38. Also see Lizzie Collingham, </w:t>
      </w:r>
      <w:r w:rsidDel="00000000" w:rsidR="00000000" w:rsidRPr="00000000">
        <w:rPr>
          <w:rFonts w:ascii="Times New Roman" w:cs="Times New Roman" w:eastAsia="Times New Roman" w:hAnsi="Times New Roman"/>
          <w:i w:val="1"/>
          <w:sz w:val="20"/>
          <w:szCs w:val="20"/>
          <w:rtl w:val="0"/>
        </w:rPr>
        <w:t xml:space="preserve">The Taste of War</w:t>
      </w:r>
      <w:r w:rsidDel="00000000" w:rsidR="00000000" w:rsidRPr="00000000">
        <w:rPr>
          <w:rFonts w:ascii="Times New Roman" w:cs="Times New Roman" w:eastAsia="Times New Roman" w:hAnsi="Times New Roman"/>
          <w:sz w:val="20"/>
          <w:szCs w:val="20"/>
          <w:rtl w:val="0"/>
        </w:rPr>
        <w:t xml:space="preserve">. (New York: The Penguin Press, 2012), 275-276.</w:t>
      </w:r>
    </w:p>
  </w:footnote>
  <w:footnote w:id="29">
    <w:p w:rsidR="00000000" w:rsidDel="00000000" w:rsidP="00000000" w:rsidRDefault="00000000" w:rsidRPr="00000000" w14:paraId="0000003F">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John Dower, </w:t>
      </w:r>
      <w:r w:rsidDel="00000000" w:rsidR="00000000" w:rsidRPr="00000000">
        <w:rPr>
          <w:rFonts w:ascii="Times New Roman" w:cs="Times New Roman" w:eastAsia="Times New Roman" w:hAnsi="Times New Roman"/>
          <w:i w:val="1"/>
          <w:sz w:val="20"/>
          <w:szCs w:val="20"/>
          <w:rtl w:val="0"/>
        </w:rPr>
        <w:t xml:space="preserve">War Without Mercy</w:t>
      </w:r>
      <w:r w:rsidDel="00000000" w:rsidR="00000000" w:rsidRPr="00000000">
        <w:rPr>
          <w:rFonts w:ascii="Times New Roman" w:cs="Times New Roman" w:eastAsia="Times New Roman" w:hAnsi="Times New Roman"/>
          <w:sz w:val="20"/>
          <w:szCs w:val="20"/>
          <w:rtl w:val="0"/>
        </w:rPr>
        <w:t xml:space="preserve">. (New York: Pantheon Books, 1993): 156.</w:t>
      </w:r>
    </w:p>
  </w:footnote>
  <w:footnote w:id="32">
    <w:p w:rsidR="00000000" w:rsidDel="00000000" w:rsidP="00000000" w:rsidRDefault="00000000" w:rsidRPr="00000000" w14:paraId="00000040">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Bruno Waterfield, “The city that turned Germans into 'Huns' marks 100 years since it was set ablaze,” </w:t>
      </w:r>
      <w:r w:rsidDel="00000000" w:rsidR="00000000" w:rsidRPr="00000000">
        <w:rPr>
          <w:rFonts w:ascii="Times New Roman" w:cs="Times New Roman" w:eastAsia="Times New Roman" w:hAnsi="Times New Roman"/>
          <w:i w:val="1"/>
          <w:sz w:val="20"/>
          <w:szCs w:val="20"/>
          <w:rtl w:val="0"/>
        </w:rPr>
        <w:t xml:space="preserve">The Telegraph</w:t>
      </w:r>
      <w:r w:rsidDel="00000000" w:rsidR="00000000" w:rsidRPr="00000000">
        <w:rPr>
          <w:rFonts w:ascii="Times New Roman" w:cs="Times New Roman" w:eastAsia="Times New Roman" w:hAnsi="Times New Roman"/>
          <w:sz w:val="20"/>
          <w:szCs w:val="20"/>
          <w:rtl w:val="0"/>
        </w:rPr>
        <w:t xml:space="preserve">, August 25, 2014, https://www.telegraph.co.uk/news/worldnews/europe/belgium/11053962/The-city-that-turned-Germans-into-Huns-marks-100-years-since-it-was-set-ablaze.html</w:t>
      </w:r>
    </w:p>
  </w:footnote>
  <w:footnote w:id="25">
    <w:p w:rsidR="00000000" w:rsidDel="00000000" w:rsidP="00000000" w:rsidRDefault="00000000" w:rsidRPr="00000000" w14:paraId="00000041">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Mary Louise Roberts, </w:t>
      </w:r>
      <w:r w:rsidDel="00000000" w:rsidR="00000000" w:rsidRPr="00000000">
        <w:rPr>
          <w:rFonts w:ascii="Times New Roman" w:cs="Times New Roman" w:eastAsia="Times New Roman" w:hAnsi="Times New Roman"/>
          <w:i w:val="1"/>
          <w:sz w:val="20"/>
          <w:szCs w:val="20"/>
          <w:rtl w:val="0"/>
        </w:rPr>
        <w:t xml:space="preserve">What Soldiers Do</w:t>
      </w:r>
      <w:r w:rsidDel="00000000" w:rsidR="00000000" w:rsidRPr="00000000">
        <w:rPr>
          <w:rFonts w:ascii="Times New Roman" w:cs="Times New Roman" w:eastAsia="Times New Roman" w:hAnsi="Times New Roman"/>
          <w:sz w:val="20"/>
          <w:szCs w:val="20"/>
          <w:rtl w:val="0"/>
        </w:rPr>
        <w:t xml:space="preserve">. (Chicago and London: The University of Chicago Press, 2013): 224.</w:t>
      </w:r>
    </w:p>
  </w:footnote>
  <w:footnote w:id="26">
    <w:p w:rsidR="00000000" w:rsidDel="00000000" w:rsidP="00000000" w:rsidRDefault="00000000" w:rsidRPr="00000000" w14:paraId="00000042">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Ibid, 218.</w:t>
      </w:r>
    </w:p>
  </w:footnote>
  <w:footnote w:id="27">
    <w:p w:rsidR="00000000" w:rsidDel="00000000" w:rsidP="00000000" w:rsidRDefault="00000000" w:rsidRPr="00000000" w14:paraId="00000043">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Ibid, 227.</w:t>
      </w:r>
    </w:p>
  </w:footnote>
  <w:footnote w:id="28">
    <w:p w:rsidR="00000000" w:rsidDel="00000000" w:rsidP="00000000" w:rsidRDefault="00000000" w:rsidRPr="00000000" w14:paraId="00000044">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Ibid, 224.</w:t>
      </w:r>
    </w:p>
  </w:footnote>
  <w:footnote w:id="30">
    <w:p w:rsidR="00000000" w:rsidDel="00000000" w:rsidP="00000000" w:rsidRDefault="00000000" w:rsidRPr="00000000" w14:paraId="00000045">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Merridale, </w:t>
      </w:r>
      <w:r w:rsidDel="00000000" w:rsidR="00000000" w:rsidRPr="00000000">
        <w:rPr>
          <w:rFonts w:ascii="Times New Roman" w:cs="Times New Roman" w:eastAsia="Times New Roman" w:hAnsi="Times New Roman"/>
          <w:i w:val="1"/>
          <w:sz w:val="20"/>
          <w:szCs w:val="20"/>
          <w:rtl w:val="0"/>
        </w:rPr>
        <w:t xml:space="preserve">Ivan’s War</w:t>
      </w:r>
      <w:r w:rsidDel="00000000" w:rsidR="00000000" w:rsidRPr="00000000">
        <w:rPr>
          <w:rFonts w:ascii="Times New Roman" w:cs="Times New Roman" w:eastAsia="Times New Roman" w:hAnsi="Times New Roman"/>
          <w:sz w:val="20"/>
          <w:szCs w:val="20"/>
          <w:rtl w:val="0"/>
        </w:rPr>
        <w:t xml:space="preserve">. 12.</w:t>
      </w:r>
    </w:p>
  </w:footnote>
  <w:footnote w:id="31">
    <w:p w:rsidR="00000000" w:rsidDel="00000000" w:rsidP="00000000" w:rsidRDefault="00000000" w:rsidRPr="00000000" w14:paraId="00000046">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Ibid.</w:t>
      </w:r>
    </w:p>
  </w:footnote>
  <w:footnote w:id="12">
    <w:p w:rsidR="00000000" w:rsidDel="00000000" w:rsidP="00000000" w:rsidRDefault="00000000" w:rsidRPr="00000000" w14:paraId="00000047">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Adams, </w:t>
      </w:r>
      <w:r w:rsidDel="00000000" w:rsidR="00000000" w:rsidRPr="00000000">
        <w:rPr>
          <w:rFonts w:ascii="Times New Roman" w:cs="Times New Roman" w:eastAsia="Times New Roman" w:hAnsi="Times New Roman"/>
          <w:i w:val="1"/>
          <w:sz w:val="20"/>
          <w:szCs w:val="20"/>
          <w:rtl w:val="0"/>
        </w:rPr>
        <w:t xml:space="preserve">Best War Ever</w:t>
      </w:r>
      <w:r w:rsidDel="00000000" w:rsidR="00000000" w:rsidRPr="00000000">
        <w:rPr>
          <w:rFonts w:ascii="Times New Roman" w:cs="Times New Roman" w:eastAsia="Times New Roman" w:hAnsi="Times New Roman"/>
          <w:sz w:val="20"/>
          <w:szCs w:val="20"/>
          <w:rtl w:val="0"/>
        </w:rPr>
        <w:t xml:space="preserve">. 2</w:t>
      </w:r>
      <w:r w:rsidDel="00000000" w:rsidR="00000000" w:rsidRPr="00000000">
        <w:rPr>
          <w:rtl w:val="0"/>
        </w:rPr>
      </w:r>
    </w:p>
  </w:footnote>
  <w:footnote w:id="13">
    <w:p w:rsidR="00000000" w:rsidDel="00000000" w:rsidP="00000000" w:rsidRDefault="00000000" w:rsidRPr="00000000" w14:paraId="00000048">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Waddington, Geoffrey T. "Ribbentrop and the Soviet Union, 1937–1941." In </w:t>
      </w:r>
      <w:r w:rsidDel="00000000" w:rsidR="00000000" w:rsidRPr="00000000">
        <w:rPr>
          <w:rFonts w:ascii="Times New Roman" w:cs="Times New Roman" w:eastAsia="Times New Roman" w:hAnsi="Times New Roman"/>
          <w:i w:val="1"/>
          <w:sz w:val="20"/>
          <w:szCs w:val="20"/>
          <w:rtl w:val="0"/>
        </w:rPr>
        <w:t xml:space="preserve">Barbarossa: The Axis and the Allies</w:t>
      </w:r>
      <w:r w:rsidDel="00000000" w:rsidR="00000000" w:rsidRPr="00000000">
        <w:rPr>
          <w:rFonts w:ascii="Times New Roman" w:cs="Times New Roman" w:eastAsia="Times New Roman" w:hAnsi="Times New Roman"/>
          <w:sz w:val="20"/>
          <w:szCs w:val="20"/>
          <w:rtl w:val="0"/>
        </w:rPr>
        <w:t xml:space="preserve">, edited by Erickson John and Dilks David. (Edinburgh: Edinburgh University Press, 1994.): 8. doi:10.3366/j.ctvxcrd44.7.</w:t>
      </w:r>
    </w:p>
  </w:footnote>
  <w:footnote w:id="22">
    <w:p w:rsidR="00000000" w:rsidDel="00000000" w:rsidP="00000000" w:rsidRDefault="00000000" w:rsidRPr="00000000" w14:paraId="00000049">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Ibid, 81.</w:t>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A">
    <w:pPr>
      <w:rPr>
        <w:rFonts w:ascii="Times New Roman" w:cs="Times New Roman" w:eastAsia="Times New Roman" w:hAnsi="Times New Roman"/>
        <w:b w:val="1"/>
      </w:rPr>
    </w:pPr>
    <w:r w:rsidDel="00000000" w:rsidR="00000000" w:rsidRPr="00000000">
      <w:rPr>
        <w:rFonts w:ascii="Times New Roman" w:cs="Times New Roman" w:eastAsia="Times New Roman" w:hAnsi="Times New Roman"/>
        <w:rtl w:val="0"/>
      </w:rPr>
      <w:t xml:space="preserve">Alexander Keller</w: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header" Target="header1.xml"/><Relationship Id="rId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